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77C1" w14:textId="77777777" w:rsidR="000A0C0D" w:rsidRPr="000A0C0D" w:rsidRDefault="000A0C0D" w:rsidP="000A0C0D">
      <w:pPr>
        <w:pBdr>
          <w:top w:val="single" w:sz="4" w:space="1" w:color="auto"/>
          <w:left w:val="single" w:sz="4" w:space="4" w:color="auto"/>
          <w:bottom w:val="single" w:sz="4" w:space="0" w:color="auto"/>
          <w:right w:val="single" w:sz="4" w:space="4" w:color="auto"/>
        </w:pBdr>
        <w:spacing w:after="0" w:line="240" w:lineRule="auto"/>
        <w:jc w:val="center"/>
        <w:rPr>
          <w:rFonts w:ascii="Calibri" w:eastAsia="Times New Roman" w:hAnsi="Calibri" w:cs="Calibri"/>
          <w:b/>
          <w:bCs/>
          <w:color w:val="FFFFFF"/>
          <w:kern w:val="28"/>
          <w:sz w:val="26"/>
          <w:szCs w:val="36"/>
          <w:lang w:eastAsia="en-GB"/>
        </w:rPr>
      </w:pPr>
      <w:bookmarkStart w:id="0" w:name="_Hlk77346160"/>
      <w:r w:rsidRPr="000A0C0D">
        <w:rPr>
          <w:rFonts w:ascii="Calibri" w:eastAsia="Times New Roman" w:hAnsi="Calibri" w:cs="Calibri"/>
          <w:b/>
          <w:bCs/>
          <w:kern w:val="28"/>
          <w:sz w:val="26"/>
          <w:szCs w:val="36"/>
          <w:lang w:eastAsia="en-GB"/>
        </w:rPr>
        <w:t>Appointed Committee member</w:t>
      </w:r>
    </w:p>
    <w:p w14:paraId="5054CD7A" w14:textId="77777777" w:rsidR="000A0C0D" w:rsidRPr="000A0C0D" w:rsidRDefault="000A0C0D" w:rsidP="000A0C0D">
      <w:pPr>
        <w:pBdr>
          <w:top w:val="single" w:sz="4" w:space="1" w:color="auto"/>
          <w:left w:val="single" w:sz="4" w:space="4" w:color="auto"/>
          <w:bottom w:val="single" w:sz="4" w:space="0" w:color="auto"/>
          <w:right w:val="single" w:sz="4" w:space="4" w:color="auto"/>
        </w:pBdr>
        <w:spacing w:line="240" w:lineRule="auto"/>
        <w:jc w:val="center"/>
        <w:rPr>
          <w:rFonts w:ascii="Calibri" w:eastAsia="Times New Roman" w:hAnsi="Calibri" w:cs="Calibri"/>
          <w:b/>
          <w:bCs/>
          <w:kern w:val="28"/>
          <w:sz w:val="26"/>
          <w:szCs w:val="36"/>
          <w:lang w:eastAsia="en-GB"/>
        </w:rPr>
      </w:pPr>
      <w:r w:rsidRPr="000A0C0D">
        <w:rPr>
          <w:rFonts w:ascii="Calibri" w:eastAsia="Times New Roman" w:hAnsi="Calibri" w:cs="Calibri"/>
          <w:b/>
          <w:bCs/>
          <w:kern w:val="28"/>
          <w:sz w:val="26"/>
          <w:szCs w:val="36"/>
          <w:lang w:eastAsia="en-GB"/>
        </w:rPr>
        <w:br/>
        <w:t>Disclosure of personal interests that may create a conflict, or potential conflict</w:t>
      </w:r>
    </w:p>
    <w:p w14:paraId="605B9B28" w14:textId="77777777" w:rsidR="000A0C0D" w:rsidRPr="000A0C0D" w:rsidRDefault="000A0C0D" w:rsidP="000A0C0D">
      <w:pPr>
        <w:pBdr>
          <w:top w:val="single" w:sz="4" w:space="1" w:color="auto"/>
          <w:left w:val="single" w:sz="4" w:space="4" w:color="auto"/>
          <w:bottom w:val="single" w:sz="4" w:space="0" w:color="auto"/>
          <w:right w:val="single" w:sz="4" w:space="4" w:color="auto"/>
        </w:pBdr>
        <w:spacing w:line="240" w:lineRule="auto"/>
        <w:jc w:val="center"/>
        <w:rPr>
          <w:rFonts w:ascii="Calibri" w:eastAsia="Times New Roman" w:hAnsi="Calibri" w:cs="Calibri"/>
          <w:b/>
          <w:bCs/>
          <w:kern w:val="28"/>
          <w:sz w:val="26"/>
          <w:szCs w:val="36"/>
          <w:lang w:eastAsia="en-GB"/>
        </w:rPr>
      </w:pPr>
    </w:p>
    <w:bookmarkEnd w:id="0"/>
    <w:p w14:paraId="355C4591" w14:textId="77777777" w:rsidR="000A0C0D" w:rsidRPr="000A0C0D" w:rsidRDefault="000A0C0D" w:rsidP="000A0C0D">
      <w:pPr>
        <w:spacing w:line="240" w:lineRule="auto"/>
        <w:rPr>
          <w:rFonts w:ascii="Calibri" w:eastAsia="Times New Roman" w:hAnsi="Calibri" w:cs="Calibri"/>
          <w:bCs/>
          <w:kern w:val="28"/>
          <w:sz w:val="24"/>
          <w:szCs w:val="24"/>
          <w:lang w:eastAsia="en-GB"/>
        </w:rPr>
      </w:pPr>
    </w:p>
    <w:p w14:paraId="2FE5A511" w14:textId="16855B93" w:rsidR="000A0C0D" w:rsidRPr="000A0C0D" w:rsidRDefault="000A0C0D" w:rsidP="064C4837">
      <w:pPr>
        <w:spacing w:line="240" w:lineRule="auto"/>
        <w:rPr>
          <w:rFonts w:ascii="Calibri" w:eastAsia="Times New Roman" w:hAnsi="Calibri" w:cs="Calibri"/>
          <w:kern w:val="28"/>
          <w:sz w:val="24"/>
          <w:szCs w:val="24"/>
          <w:lang w:eastAsia="en-GB"/>
        </w:rPr>
      </w:pPr>
      <w:r w:rsidRPr="064C4837">
        <w:rPr>
          <w:rFonts w:ascii="Calibri" w:eastAsia="Times New Roman" w:hAnsi="Calibri" w:cs="Calibri"/>
          <w:kern w:val="28"/>
          <w:sz w:val="24"/>
          <w:szCs w:val="24"/>
          <w:lang w:eastAsia="en-GB"/>
        </w:rPr>
        <w:t>Appointee’s name:</w:t>
      </w:r>
      <w:r w:rsidRPr="000A0C0D">
        <w:rPr>
          <w:rFonts w:ascii="Calibri" w:eastAsia="Times New Roman" w:hAnsi="Calibri" w:cs="Calibri"/>
          <w:bCs/>
          <w:kern w:val="28"/>
          <w:sz w:val="24"/>
          <w:szCs w:val="24"/>
          <w:lang w:eastAsia="en-GB"/>
        </w:rPr>
        <w:tab/>
      </w:r>
    </w:p>
    <w:p w14:paraId="17FA4B67" w14:textId="77777777" w:rsidR="000A0C0D" w:rsidRPr="000A0C0D" w:rsidRDefault="000A0C0D" w:rsidP="000A0C0D">
      <w:pPr>
        <w:spacing w:line="240" w:lineRule="auto"/>
        <w:rPr>
          <w:rFonts w:ascii="Calibri" w:eastAsia="Times New Roman" w:hAnsi="Calibri" w:cs="Calibri"/>
          <w:bCs/>
          <w:kern w:val="28"/>
          <w:sz w:val="24"/>
          <w:szCs w:val="24"/>
          <w:lang w:eastAsia="en-GB"/>
        </w:rPr>
      </w:pPr>
    </w:p>
    <w:p w14:paraId="782B7A2B" w14:textId="7C48E600" w:rsidR="000A0C0D" w:rsidRPr="000A0C0D" w:rsidRDefault="000A0C0D" w:rsidP="000A0C0D">
      <w:pPr>
        <w:tabs>
          <w:tab w:val="left" w:pos="1134"/>
        </w:tabs>
        <w:spacing w:after="240" w:line="240" w:lineRule="auto"/>
        <w:ind w:left="1134" w:hanging="1134"/>
        <w:rPr>
          <w:rFonts w:ascii="Calibri" w:eastAsia="Times New Roman" w:hAnsi="Calibri" w:cs="Calibri"/>
          <w:bCs/>
          <w:kern w:val="28"/>
          <w:sz w:val="24"/>
          <w:szCs w:val="24"/>
          <w:lang w:eastAsia="en-GB"/>
        </w:rPr>
      </w:pPr>
      <w:r w:rsidRPr="000A0C0D">
        <w:rPr>
          <w:rFonts w:ascii="Calibri" w:eastAsia="Times New Roman" w:hAnsi="Calibri" w:cs="Calibri"/>
          <w:b/>
          <w:bCs/>
          <w:kern w:val="28"/>
          <w:sz w:val="24"/>
          <w:szCs w:val="24"/>
          <w:lang w:eastAsia="en-GB"/>
        </w:rPr>
        <w:t>Part 1</w:t>
      </w:r>
      <w:r w:rsidRPr="000A0C0D">
        <w:rPr>
          <w:rFonts w:ascii="Calibri" w:eastAsia="Times New Roman" w:hAnsi="Calibri" w:cs="Calibri"/>
          <w:bCs/>
          <w:kern w:val="28"/>
          <w:sz w:val="24"/>
          <w:szCs w:val="24"/>
          <w:lang w:eastAsia="en-GB"/>
        </w:rPr>
        <w:tab/>
      </w:r>
      <w:r w:rsidRPr="000A0C0D">
        <w:rPr>
          <w:rFonts w:ascii="Calibri" w:eastAsia="Times New Roman" w:hAnsi="Calibri" w:cs="Calibri"/>
          <w:b/>
          <w:bCs/>
          <w:kern w:val="28"/>
          <w:sz w:val="24"/>
          <w:szCs w:val="24"/>
          <w:lang w:eastAsia="en-GB"/>
        </w:rPr>
        <w:t>Pecuniary (financial) interests that conflict, or potentially conflict, with your appointment as a Committee member</w:t>
      </w:r>
    </w:p>
    <w:tbl>
      <w:tblPr>
        <w:tblStyle w:val="TableGrid1"/>
        <w:tblW w:w="0" w:type="auto"/>
        <w:tblLook w:val="04A0" w:firstRow="1" w:lastRow="0" w:firstColumn="1" w:lastColumn="0" w:noHBand="0" w:noVBand="1"/>
      </w:tblPr>
      <w:tblGrid>
        <w:gridCol w:w="9016"/>
      </w:tblGrid>
      <w:tr w:rsidR="000A0C0D" w:rsidRPr="000A0C0D" w14:paraId="2BDB4E83" w14:textId="77777777" w:rsidTr="00E37390">
        <w:trPr>
          <w:trHeight w:val="1157"/>
        </w:trPr>
        <w:tc>
          <w:tcPr>
            <w:tcW w:w="9016" w:type="dxa"/>
          </w:tcPr>
          <w:p w14:paraId="36FAB5F6"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Qualifying role or contract:</w:t>
            </w:r>
            <w:r w:rsidRPr="000A0C0D">
              <w:rPr>
                <w:rFonts w:ascii="Calibri" w:eastAsia="Times New Roman" w:hAnsi="Calibri" w:cs="Calibri"/>
                <w:color w:val="000000"/>
                <w:kern w:val="28"/>
                <w:sz w:val="24"/>
                <w:szCs w:val="24"/>
                <w:lang w:eastAsia="en-GB"/>
              </w:rPr>
              <w:tab/>
            </w:r>
          </w:p>
          <w:p w14:paraId="4B237F66"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and amount of the pecuniary interest:</w:t>
            </w:r>
            <w:r w:rsidRPr="000A0C0D">
              <w:rPr>
                <w:rFonts w:ascii="Calibri" w:eastAsia="Times New Roman" w:hAnsi="Calibri" w:cs="Calibri"/>
                <w:color w:val="000000"/>
                <w:kern w:val="28"/>
                <w:sz w:val="24"/>
                <w:szCs w:val="24"/>
                <w:lang w:eastAsia="en-GB"/>
              </w:rPr>
              <w:tab/>
            </w:r>
          </w:p>
        </w:tc>
      </w:tr>
      <w:tr w:rsidR="000A0C0D" w:rsidRPr="000A0C0D" w14:paraId="53178864" w14:textId="77777777" w:rsidTr="00E37390">
        <w:trPr>
          <w:trHeight w:val="1157"/>
        </w:trPr>
        <w:tc>
          <w:tcPr>
            <w:tcW w:w="9016" w:type="dxa"/>
          </w:tcPr>
          <w:p w14:paraId="175FC4FE"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Qualifying role or contract:</w:t>
            </w:r>
            <w:r w:rsidRPr="000A0C0D">
              <w:rPr>
                <w:rFonts w:ascii="Calibri" w:eastAsia="Times New Roman" w:hAnsi="Calibri" w:cs="Calibri"/>
                <w:color w:val="000000"/>
                <w:kern w:val="28"/>
                <w:sz w:val="24"/>
                <w:szCs w:val="24"/>
                <w:lang w:eastAsia="en-GB"/>
              </w:rPr>
              <w:tab/>
            </w:r>
          </w:p>
          <w:p w14:paraId="5015101A"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and amount of the pecuniary interest:</w:t>
            </w:r>
            <w:r w:rsidRPr="000A0C0D">
              <w:rPr>
                <w:rFonts w:ascii="Calibri" w:eastAsia="Times New Roman" w:hAnsi="Calibri" w:cs="Calibri"/>
                <w:color w:val="000000"/>
                <w:kern w:val="28"/>
                <w:sz w:val="24"/>
                <w:szCs w:val="24"/>
                <w:lang w:eastAsia="en-GB"/>
              </w:rPr>
              <w:tab/>
            </w:r>
          </w:p>
        </w:tc>
      </w:tr>
      <w:tr w:rsidR="000A0C0D" w:rsidRPr="000A0C0D" w14:paraId="33523D5F" w14:textId="77777777" w:rsidTr="00E37390">
        <w:trPr>
          <w:trHeight w:val="1157"/>
        </w:trPr>
        <w:tc>
          <w:tcPr>
            <w:tcW w:w="9016" w:type="dxa"/>
          </w:tcPr>
          <w:p w14:paraId="48D84117"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Qualifying role or contract:</w:t>
            </w:r>
            <w:r w:rsidRPr="000A0C0D">
              <w:rPr>
                <w:rFonts w:ascii="Calibri" w:eastAsia="Times New Roman" w:hAnsi="Calibri" w:cs="Calibri"/>
                <w:color w:val="000000"/>
                <w:kern w:val="28"/>
                <w:sz w:val="24"/>
                <w:szCs w:val="24"/>
                <w:lang w:eastAsia="en-GB"/>
              </w:rPr>
              <w:tab/>
            </w:r>
          </w:p>
          <w:p w14:paraId="2B45E440"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and amount of the pecuniary interest:</w:t>
            </w:r>
            <w:r w:rsidRPr="000A0C0D">
              <w:rPr>
                <w:rFonts w:ascii="Calibri" w:eastAsia="Times New Roman" w:hAnsi="Calibri" w:cs="Calibri"/>
                <w:color w:val="000000"/>
                <w:kern w:val="28"/>
                <w:sz w:val="24"/>
                <w:szCs w:val="24"/>
                <w:lang w:eastAsia="en-GB"/>
              </w:rPr>
              <w:tab/>
            </w:r>
          </w:p>
        </w:tc>
      </w:tr>
      <w:tr w:rsidR="000A0C0D" w:rsidRPr="000A0C0D" w14:paraId="4F034850" w14:textId="77777777" w:rsidTr="00E37390">
        <w:trPr>
          <w:trHeight w:val="1157"/>
        </w:trPr>
        <w:tc>
          <w:tcPr>
            <w:tcW w:w="9016" w:type="dxa"/>
          </w:tcPr>
          <w:p w14:paraId="75094258"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Qualifying role or contract:</w:t>
            </w:r>
            <w:r w:rsidRPr="000A0C0D">
              <w:rPr>
                <w:rFonts w:ascii="Calibri" w:eastAsia="Times New Roman" w:hAnsi="Calibri" w:cs="Calibri"/>
                <w:color w:val="000000"/>
                <w:kern w:val="28"/>
                <w:sz w:val="24"/>
                <w:szCs w:val="24"/>
                <w:lang w:eastAsia="en-GB"/>
              </w:rPr>
              <w:tab/>
            </w:r>
          </w:p>
          <w:p w14:paraId="7F432C31"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and amount of the pecuniary interest:</w:t>
            </w:r>
            <w:r w:rsidRPr="000A0C0D">
              <w:rPr>
                <w:rFonts w:ascii="Calibri" w:eastAsia="Times New Roman" w:hAnsi="Calibri" w:cs="Calibri"/>
                <w:color w:val="000000"/>
                <w:kern w:val="28"/>
                <w:sz w:val="24"/>
                <w:szCs w:val="24"/>
                <w:lang w:eastAsia="en-GB"/>
              </w:rPr>
              <w:tab/>
            </w:r>
          </w:p>
        </w:tc>
      </w:tr>
      <w:tr w:rsidR="000A0C0D" w:rsidRPr="000A0C0D" w14:paraId="2F7731E1" w14:textId="77777777" w:rsidTr="00E37390">
        <w:trPr>
          <w:trHeight w:val="1157"/>
        </w:trPr>
        <w:tc>
          <w:tcPr>
            <w:tcW w:w="9016" w:type="dxa"/>
          </w:tcPr>
          <w:p w14:paraId="4BFA1049"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Qualifying role or contract:</w:t>
            </w:r>
            <w:r w:rsidRPr="000A0C0D">
              <w:rPr>
                <w:rFonts w:ascii="Calibri" w:eastAsia="Times New Roman" w:hAnsi="Calibri" w:cs="Calibri"/>
                <w:color w:val="000000"/>
                <w:kern w:val="28"/>
                <w:sz w:val="24"/>
                <w:szCs w:val="24"/>
                <w:lang w:eastAsia="en-GB"/>
              </w:rPr>
              <w:tab/>
            </w:r>
          </w:p>
          <w:p w14:paraId="534F9796"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and amount of the pecuniary interest:</w:t>
            </w:r>
            <w:r w:rsidRPr="000A0C0D">
              <w:rPr>
                <w:rFonts w:ascii="Calibri" w:eastAsia="Times New Roman" w:hAnsi="Calibri" w:cs="Calibri"/>
                <w:color w:val="000000"/>
                <w:kern w:val="28"/>
                <w:sz w:val="24"/>
                <w:szCs w:val="24"/>
                <w:lang w:eastAsia="en-GB"/>
              </w:rPr>
              <w:tab/>
            </w:r>
          </w:p>
        </w:tc>
      </w:tr>
    </w:tbl>
    <w:p w14:paraId="0AC15D28" w14:textId="77777777" w:rsidR="000A0C0D" w:rsidRPr="000A0C0D" w:rsidRDefault="000A0C0D" w:rsidP="000A0C0D">
      <w:pPr>
        <w:spacing w:line="240" w:lineRule="auto"/>
        <w:rPr>
          <w:rFonts w:ascii="Calibri" w:eastAsia="Times New Roman" w:hAnsi="Calibri" w:cs="Calibri"/>
          <w:bCs/>
          <w:kern w:val="28"/>
          <w:sz w:val="24"/>
          <w:szCs w:val="24"/>
          <w:lang w:eastAsia="en-GB"/>
        </w:rPr>
      </w:pPr>
    </w:p>
    <w:p w14:paraId="371F87E5" w14:textId="77777777" w:rsidR="000A0C0D" w:rsidRPr="000A0C0D" w:rsidRDefault="000A0C0D" w:rsidP="000A0C0D">
      <w:pPr>
        <w:spacing w:after="200" w:line="276" w:lineRule="auto"/>
        <w:rPr>
          <w:rFonts w:ascii="Calibri" w:eastAsia="Times New Roman" w:hAnsi="Calibri" w:cs="Calibri"/>
          <w:b/>
          <w:bCs/>
          <w:kern w:val="28"/>
          <w:sz w:val="24"/>
          <w:szCs w:val="24"/>
          <w:lang w:eastAsia="en-GB"/>
        </w:rPr>
      </w:pPr>
      <w:r w:rsidRPr="000A0C0D">
        <w:rPr>
          <w:rFonts w:ascii="Calibri" w:eastAsia="Times New Roman" w:hAnsi="Calibri" w:cs="Calibri"/>
          <w:b/>
          <w:bCs/>
          <w:kern w:val="28"/>
          <w:sz w:val="24"/>
          <w:szCs w:val="24"/>
          <w:lang w:eastAsia="en-GB"/>
        </w:rPr>
        <w:br w:type="page"/>
      </w:r>
    </w:p>
    <w:p w14:paraId="4FAD3727" w14:textId="13AC87B0" w:rsidR="000A0C0D" w:rsidRPr="000A0C0D" w:rsidRDefault="000A0C0D" w:rsidP="000A0C0D">
      <w:pPr>
        <w:tabs>
          <w:tab w:val="left" w:pos="1134"/>
        </w:tabs>
        <w:spacing w:after="240" w:line="240" w:lineRule="auto"/>
        <w:ind w:left="1134" w:hanging="1134"/>
        <w:jc w:val="both"/>
        <w:rPr>
          <w:rFonts w:ascii="Calibri" w:eastAsia="Times New Roman" w:hAnsi="Calibri" w:cs="Calibri"/>
          <w:b/>
          <w:bCs/>
          <w:kern w:val="28"/>
          <w:sz w:val="24"/>
          <w:szCs w:val="24"/>
          <w:lang w:eastAsia="en-GB"/>
        </w:rPr>
      </w:pPr>
      <w:r w:rsidRPr="000A0C0D">
        <w:rPr>
          <w:rFonts w:ascii="Calibri" w:eastAsia="Times New Roman" w:hAnsi="Calibri" w:cs="Calibri"/>
          <w:b/>
          <w:bCs/>
          <w:kern w:val="28"/>
          <w:sz w:val="24"/>
          <w:szCs w:val="24"/>
          <w:lang w:eastAsia="en-GB"/>
        </w:rPr>
        <w:lastRenderedPageBreak/>
        <w:t>Part 2</w:t>
      </w:r>
      <w:r w:rsidRPr="000A0C0D">
        <w:rPr>
          <w:rFonts w:ascii="Calibri" w:eastAsia="Times New Roman" w:hAnsi="Calibri" w:cs="Calibri"/>
          <w:b/>
          <w:bCs/>
          <w:kern w:val="28"/>
          <w:sz w:val="24"/>
          <w:szCs w:val="24"/>
          <w:lang w:eastAsia="en-GB"/>
        </w:rPr>
        <w:tab/>
        <w:t>Other (non-pecuniary) interests that conflict, or potentially conflict, with your appointment as a Committee member</w:t>
      </w:r>
    </w:p>
    <w:tbl>
      <w:tblPr>
        <w:tblStyle w:val="TableGrid1"/>
        <w:tblW w:w="0" w:type="auto"/>
        <w:tblLook w:val="04A0" w:firstRow="1" w:lastRow="0" w:firstColumn="1" w:lastColumn="0" w:noHBand="0" w:noVBand="1"/>
      </w:tblPr>
      <w:tblGrid>
        <w:gridCol w:w="9016"/>
      </w:tblGrid>
      <w:tr w:rsidR="000A0C0D" w:rsidRPr="000A0C0D" w14:paraId="33D01584" w14:textId="77777777" w:rsidTr="00E37390">
        <w:trPr>
          <w:trHeight w:val="1157"/>
        </w:trPr>
        <w:tc>
          <w:tcPr>
            <w:tcW w:w="9016" w:type="dxa"/>
          </w:tcPr>
          <w:p w14:paraId="4329C0A3" w14:textId="77777777" w:rsidR="000A0C0D" w:rsidRPr="000A0C0D" w:rsidRDefault="000A0C0D" w:rsidP="000A0C0D">
            <w:pPr>
              <w:tabs>
                <w:tab w:val="left" w:pos="3139"/>
              </w:tabs>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r w:rsidR="000A0C0D" w:rsidRPr="000A0C0D" w14:paraId="45E741C4" w14:textId="77777777" w:rsidTr="00E37390">
        <w:trPr>
          <w:trHeight w:val="1157"/>
        </w:trPr>
        <w:tc>
          <w:tcPr>
            <w:tcW w:w="9016" w:type="dxa"/>
          </w:tcPr>
          <w:p w14:paraId="50D63CCC" w14:textId="77777777" w:rsidR="000A0C0D" w:rsidRPr="000A0C0D" w:rsidRDefault="000A0C0D" w:rsidP="000A0C0D">
            <w:pPr>
              <w:tabs>
                <w:tab w:val="left" w:pos="3139"/>
              </w:tabs>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r w:rsidR="000A0C0D" w:rsidRPr="000A0C0D" w14:paraId="58031158" w14:textId="77777777" w:rsidTr="00E37390">
        <w:trPr>
          <w:trHeight w:val="1157"/>
        </w:trPr>
        <w:tc>
          <w:tcPr>
            <w:tcW w:w="9016" w:type="dxa"/>
          </w:tcPr>
          <w:p w14:paraId="53D2C602" w14:textId="77777777" w:rsidR="000A0C0D" w:rsidRPr="000A0C0D" w:rsidRDefault="000A0C0D" w:rsidP="000A0C0D">
            <w:pPr>
              <w:tabs>
                <w:tab w:val="left" w:pos="3139"/>
              </w:tabs>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r w:rsidR="000A0C0D" w:rsidRPr="000A0C0D" w14:paraId="5DC9F66C" w14:textId="77777777" w:rsidTr="00E37390">
        <w:trPr>
          <w:trHeight w:val="1157"/>
        </w:trPr>
        <w:tc>
          <w:tcPr>
            <w:tcW w:w="9016" w:type="dxa"/>
          </w:tcPr>
          <w:p w14:paraId="08BD35EA" w14:textId="77777777" w:rsidR="000A0C0D" w:rsidRPr="000A0C0D" w:rsidRDefault="000A0C0D" w:rsidP="000A0C0D">
            <w:pPr>
              <w:tabs>
                <w:tab w:val="left" w:pos="3139"/>
              </w:tabs>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r w:rsidR="000A0C0D" w:rsidRPr="000A0C0D" w14:paraId="0DBA4337" w14:textId="77777777" w:rsidTr="00E37390">
        <w:trPr>
          <w:trHeight w:val="1157"/>
        </w:trPr>
        <w:tc>
          <w:tcPr>
            <w:tcW w:w="9016" w:type="dxa"/>
          </w:tcPr>
          <w:p w14:paraId="27FF71B7" w14:textId="77777777" w:rsidR="000A0C0D" w:rsidRPr="000A0C0D" w:rsidRDefault="000A0C0D" w:rsidP="000A0C0D">
            <w:pPr>
              <w:tabs>
                <w:tab w:val="left" w:pos="3139"/>
              </w:tabs>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r w:rsidR="000A0C0D" w:rsidRPr="000A0C0D" w14:paraId="53AE93C3" w14:textId="77777777" w:rsidTr="00E37390">
        <w:trPr>
          <w:trHeight w:val="1157"/>
        </w:trPr>
        <w:tc>
          <w:tcPr>
            <w:tcW w:w="9016" w:type="dxa"/>
          </w:tcPr>
          <w:p w14:paraId="3DB13E44" w14:textId="77777777" w:rsidR="000A0C0D" w:rsidRPr="000A0C0D" w:rsidRDefault="000A0C0D" w:rsidP="000A0C0D">
            <w:pPr>
              <w:spacing w:before="240"/>
              <w:rPr>
                <w:rFonts w:ascii="Calibri" w:eastAsia="Times New Roman" w:hAnsi="Calibri" w:cs="Calibri"/>
                <w:color w:val="000000"/>
                <w:kern w:val="28"/>
                <w:sz w:val="24"/>
                <w:szCs w:val="24"/>
                <w:lang w:eastAsia="en-GB"/>
              </w:rPr>
            </w:pPr>
            <w:r w:rsidRPr="000A0C0D">
              <w:rPr>
                <w:rFonts w:ascii="Calibri" w:eastAsia="Times New Roman" w:hAnsi="Calibri" w:cs="Calibri"/>
                <w:color w:val="000000"/>
                <w:kern w:val="28"/>
                <w:sz w:val="24"/>
                <w:szCs w:val="24"/>
                <w:lang w:eastAsia="en-GB"/>
              </w:rPr>
              <w:t>Nature of the interest:</w:t>
            </w:r>
            <w:r w:rsidRPr="000A0C0D">
              <w:rPr>
                <w:rFonts w:ascii="Calibri" w:eastAsia="Times New Roman" w:hAnsi="Calibri" w:cs="Calibri"/>
                <w:color w:val="000000"/>
                <w:kern w:val="28"/>
                <w:sz w:val="24"/>
                <w:szCs w:val="24"/>
                <w:lang w:eastAsia="en-GB"/>
              </w:rPr>
              <w:tab/>
            </w:r>
          </w:p>
        </w:tc>
      </w:tr>
    </w:tbl>
    <w:p w14:paraId="6B67909B" w14:textId="77777777" w:rsidR="000A0C0D" w:rsidRPr="000A0C0D" w:rsidRDefault="000A0C0D" w:rsidP="000A0C0D">
      <w:pPr>
        <w:tabs>
          <w:tab w:val="left" w:pos="1134"/>
        </w:tabs>
        <w:spacing w:before="360" w:line="240" w:lineRule="auto"/>
        <w:rPr>
          <w:rFonts w:ascii="Calibri" w:eastAsia="Times New Roman" w:hAnsi="Calibri" w:cs="Calibri"/>
          <w:bCs/>
          <w:kern w:val="28"/>
          <w:sz w:val="24"/>
          <w:szCs w:val="24"/>
          <w:lang w:eastAsia="en-GB"/>
        </w:rPr>
      </w:pPr>
    </w:p>
    <w:p w14:paraId="7F23724E" w14:textId="77777777" w:rsidR="000A0C0D" w:rsidRPr="000A0C0D" w:rsidRDefault="000A0C0D" w:rsidP="000A0C0D">
      <w:pPr>
        <w:tabs>
          <w:tab w:val="left" w:pos="1134"/>
        </w:tabs>
        <w:spacing w:before="360" w:line="240" w:lineRule="auto"/>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Signed:</w:t>
      </w:r>
      <w:r w:rsidRPr="000A0C0D">
        <w:rPr>
          <w:rFonts w:ascii="Calibri" w:eastAsia="Times New Roman" w:hAnsi="Calibri" w:cs="Calibri"/>
          <w:bCs/>
          <w:kern w:val="28"/>
          <w:sz w:val="24"/>
          <w:szCs w:val="24"/>
          <w:lang w:eastAsia="en-GB"/>
        </w:rPr>
        <w:tab/>
        <w:t>_____________________________</w:t>
      </w:r>
      <w:r w:rsidRPr="000A0C0D">
        <w:rPr>
          <w:rFonts w:ascii="Calibri" w:eastAsia="Times New Roman" w:hAnsi="Calibri" w:cs="Calibri"/>
          <w:bCs/>
          <w:kern w:val="28"/>
          <w:sz w:val="24"/>
          <w:szCs w:val="24"/>
          <w:lang w:eastAsia="en-GB"/>
        </w:rPr>
        <w:tab/>
        <w:t>Date:</w:t>
      </w:r>
    </w:p>
    <w:p w14:paraId="0DE51F0A" w14:textId="77777777" w:rsidR="000A0C0D" w:rsidRPr="000A0C0D" w:rsidRDefault="00000000" w:rsidP="000A0C0D">
      <w:pPr>
        <w:spacing w:line="240" w:lineRule="auto"/>
        <w:rPr>
          <w:rFonts w:ascii="Calibri" w:eastAsia="Times New Roman" w:hAnsi="Calibri" w:cs="Calibri"/>
          <w:bCs/>
          <w:kern w:val="28"/>
          <w:sz w:val="24"/>
          <w:szCs w:val="24"/>
          <w:lang w:eastAsia="en-GB"/>
        </w:rPr>
      </w:pPr>
      <w:r>
        <w:rPr>
          <w:rFonts w:ascii="Calibri" w:eastAsia="Times New Roman" w:hAnsi="Calibri" w:cs="Calibri"/>
          <w:bCs/>
          <w:kern w:val="28"/>
          <w:sz w:val="24"/>
          <w:szCs w:val="24"/>
          <w:lang w:eastAsia="en-GB"/>
        </w:rPr>
        <w:pict w14:anchorId="3D4B49B4">
          <v:rect id="_x0000_i1025" style="width:0;height:1.5pt" o:hralign="center" o:hrstd="t" o:hr="t" fillcolor="#a0a0a0" stroked="f"/>
        </w:pict>
      </w:r>
    </w:p>
    <w:p w14:paraId="0FB80BE6" w14:textId="77777777" w:rsidR="000A0C0D" w:rsidRPr="000A0C0D" w:rsidRDefault="000A0C0D" w:rsidP="000A0C0D">
      <w:pPr>
        <w:spacing w:after="200" w:line="276" w:lineRule="auto"/>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br w:type="page"/>
      </w:r>
    </w:p>
    <w:p w14:paraId="22AD3845"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lastRenderedPageBreak/>
        <w:t>Please note that:</w:t>
      </w:r>
    </w:p>
    <w:p w14:paraId="6A546E01" w14:textId="77777777" w:rsidR="000A0C0D" w:rsidRPr="000A0C0D" w:rsidRDefault="000A0C0D" w:rsidP="000A0C0D">
      <w:pPr>
        <w:numPr>
          <w:ilvl w:val="0"/>
          <w:numId w:val="2"/>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If requested by Greater Wellington’s auditors, your completed disclosure document will be conveyed to them for audit purposes</w:t>
      </w:r>
    </w:p>
    <w:p w14:paraId="440D0C62" w14:textId="77777777" w:rsidR="000A0C0D" w:rsidRPr="000A0C0D" w:rsidRDefault="000A0C0D" w:rsidP="000A0C0D">
      <w:pPr>
        <w:numPr>
          <w:ilvl w:val="0"/>
          <w:numId w:val="2"/>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Any request from a third party (excluding Greater Wellington’s auditors) for your completed form document will be considered under the Local Government Official Information and Meetings Act 1987</w:t>
      </w:r>
    </w:p>
    <w:p w14:paraId="43A0D448" w14:textId="77777777" w:rsidR="000A0C0D" w:rsidRPr="000A0C0D" w:rsidRDefault="000A0C0D" w:rsidP="000A0C0D">
      <w:pPr>
        <w:numPr>
          <w:ilvl w:val="0"/>
          <w:numId w:val="2"/>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Greater Wellington won’t publish externally the information provided in your completed disclosure document</w:t>
      </w:r>
    </w:p>
    <w:p w14:paraId="0BFCAF57" w14:textId="77777777" w:rsidR="000A0C0D" w:rsidRPr="000A0C0D" w:rsidRDefault="000A0C0D" w:rsidP="000A0C0D">
      <w:pPr>
        <w:numPr>
          <w:ilvl w:val="0"/>
          <w:numId w:val="2"/>
        </w:numPr>
        <w:spacing w:after="24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You can request a copy of your completed form, or seek correction of any personal information contained within it, at any time. To do so, please contact </w:t>
      </w:r>
      <w:hyperlink r:id="rId11" w:history="1">
        <w:r w:rsidRPr="000A0C0D">
          <w:rPr>
            <w:rFonts w:ascii="Calibri" w:eastAsia="Times New Roman" w:hAnsi="Calibri" w:cs="Calibri"/>
            <w:bCs/>
            <w:color w:val="0000FF"/>
            <w:kern w:val="28"/>
            <w:sz w:val="24"/>
            <w:szCs w:val="24"/>
            <w:u w:val="single"/>
            <w:lang w:eastAsia="en-GB"/>
          </w:rPr>
          <w:t>privacy@gw.govt.nz</w:t>
        </w:r>
      </w:hyperlink>
      <w:r w:rsidRPr="000A0C0D">
        <w:rPr>
          <w:rFonts w:ascii="Calibri" w:eastAsia="Times New Roman" w:hAnsi="Calibri" w:cs="Calibri"/>
          <w:bCs/>
          <w:kern w:val="28"/>
          <w:sz w:val="24"/>
          <w:szCs w:val="24"/>
          <w:lang w:eastAsia="en-GB"/>
        </w:rPr>
        <w:t>.</w:t>
      </w:r>
    </w:p>
    <w:p w14:paraId="77DF66A2" w14:textId="1562076C"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Please return this completed form to </w:t>
      </w:r>
      <w:hyperlink r:id="rId12" w:history="1">
        <w:r w:rsidRPr="000A0C0D">
          <w:rPr>
            <w:rFonts w:ascii="Calibri" w:eastAsia="Times New Roman" w:hAnsi="Calibri" w:cs="Calibri"/>
            <w:bCs/>
            <w:color w:val="0000FF"/>
            <w:kern w:val="28"/>
            <w:sz w:val="24"/>
            <w:szCs w:val="24"/>
            <w:u w:val="single"/>
            <w:lang w:eastAsia="en-GB"/>
          </w:rPr>
          <w:t>democratic.services@gw.govt.nz</w:t>
        </w:r>
      </w:hyperlink>
      <w:r w:rsidRPr="000A0C0D">
        <w:rPr>
          <w:rFonts w:ascii="Calibri" w:eastAsia="Times New Roman" w:hAnsi="Calibri" w:cs="Calibri"/>
          <w:bCs/>
          <w:kern w:val="28"/>
          <w:sz w:val="24"/>
          <w:szCs w:val="24"/>
          <w:lang w:eastAsia="en-GB"/>
        </w:rPr>
        <w:t>, or post it to Democratic Services, Greater Wellington, PO Box 11646, Manners Street, Wellington 6</w:t>
      </w:r>
      <w:r w:rsidR="008B3457">
        <w:rPr>
          <w:rFonts w:ascii="Calibri" w:eastAsia="Times New Roman" w:hAnsi="Calibri" w:cs="Calibri"/>
          <w:bCs/>
          <w:kern w:val="28"/>
          <w:sz w:val="24"/>
          <w:szCs w:val="24"/>
          <w:lang w:eastAsia="en-GB"/>
        </w:rPr>
        <w:t>011</w:t>
      </w:r>
      <w:r w:rsidRPr="000A0C0D">
        <w:rPr>
          <w:rFonts w:ascii="Calibri" w:eastAsia="Times New Roman" w:hAnsi="Calibri" w:cs="Calibri"/>
          <w:bCs/>
          <w:kern w:val="28"/>
          <w:sz w:val="24"/>
          <w:szCs w:val="24"/>
          <w:lang w:eastAsia="en-GB"/>
        </w:rPr>
        <w:t>.</w:t>
      </w:r>
    </w:p>
    <w:p w14:paraId="5071405F" w14:textId="77777777" w:rsidR="000A0C0D" w:rsidRPr="000A0C0D" w:rsidRDefault="000A0C0D" w:rsidP="000A0C0D">
      <w:pPr>
        <w:spacing w:after="200" w:line="276" w:lineRule="auto"/>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br w:type="page"/>
      </w:r>
    </w:p>
    <w:p w14:paraId="23BF6F87" w14:textId="77777777" w:rsidR="000A0C0D" w:rsidRPr="000A0C0D" w:rsidRDefault="000A0C0D" w:rsidP="000A0C0D">
      <w:pPr>
        <w:spacing w:before="240" w:after="240" w:line="240" w:lineRule="auto"/>
        <w:jc w:val="both"/>
        <w:rPr>
          <w:rFonts w:ascii="Calibri" w:eastAsia="Times New Roman" w:hAnsi="Calibri" w:cs="Calibri"/>
          <w:b/>
          <w:bCs/>
          <w:kern w:val="28"/>
          <w:sz w:val="32"/>
          <w:szCs w:val="32"/>
          <w:lang w:eastAsia="en-GB"/>
        </w:rPr>
      </w:pPr>
      <w:r w:rsidRPr="000A0C0D">
        <w:rPr>
          <w:rFonts w:ascii="Calibri" w:eastAsia="Times New Roman" w:hAnsi="Calibri" w:cs="Calibri"/>
          <w:b/>
          <w:bCs/>
          <w:kern w:val="28"/>
          <w:sz w:val="32"/>
          <w:szCs w:val="32"/>
          <w:lang w:eastAsia="en-GB"/>
        </w:rPr>
        <w:lastRenderedPageBreak/>
        <w:t>Information on disclosure of personal interests</w:t>
      </w:r>
    </w:p>
    <w:p w14:paraId="022660EB" w14:textId="77777777" w:rsidR="000A0C0D" w:rsidRPr="000A0C0D" w:rsidRDefault="000A0C0D" w:rsidP="000A0C0D">
      <w:pPr>
        <w:spacing w:before="240" w:after="240" w:line="240" w:lineRule="auto"/>
        <w:jc w:val="both"/>
        <w:rPr>
          <w:rFonts w:ascii="Calibri" w:eastAsia="Times New Roman" w:hAnsi="Calibri" w:cs="Calibri"/>
          <w:b/>
          <w:bCs/>
          <w:kern w:val="28"/>
          <w:sz w:val="24"/>
          <w:szCs w:val="24"/>
          <w:lang w:eastAsia="en-GB"/>
        </w:rPr>
      </w:pPr>
      <w:r w:rsidRPr="000A0C0D">
        <w:rPr>
          <w:rFonts w:ascii="Calibri" w:eastAsia="Times New Roman" w:hAnsi="Calibri" w:cs="Calibri"/>
          <w:b/>
          <w:bCs/>
          <w:kern w:val="28"/>
          <w:sz w:val="26"/>
          <w:szCs w:val="24"/>
          <w:lang w:eastAsia="en-GB"/>
        </w:rPr>
        <w:t>Introduction</w:t>
      </w:r>
    </w:p>
    <w:p w14:paraId="1560C6CE"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Personal interests that intersect with your responsibilities as an appointed Committee member can create actual or potential conflicts of interest.</w:t>
      </w:r>
    </w:p>
    <w:p w14:paraId="3CB77F7E" w14:textId="77777777" w:rsidR="000A0C0D" w:rsidRPr="000A0C0D" w:rsidRDefault="000A0C0D" w:rsidP="000A0C0D">
      <w:pPr>
        <w:spacing w:after="240" w:line="240" w:lineRule="auto"/>
        <w:jc w:val="both"/>
        <w:rPr>
          <w:rFonts w:ascii="Calibri" w:eastAsia="Times New Roman" w:hAnsi="Calibri" w:cs="Calibri"/>
          <w:b/>
          <w:bCs/>
          <w:kern w:val="28"/>
          <w:sz w:val="26"/>
          <w:szCs w:val="24"/>
          <w:lang w:eastAsia="en-GB"/>
        </w:rPr>
      </w:pPr>
      <w:r w:rsidRPr="000A0C0D">
        <w:rPr>
          <w:rFonts w:ascii="Calibri" w:eastAsia="Times New Roman" w:hAnsi="Calibri" w:cs="Calibri"/>
          <w:b/>
          <w:bCs/>
          <w:kern w:val="28"/>
          <w:sz w:val="26"/>
          <w:szCs w:val="24"/>
          <w:lang w:eastAsia="en-GB"/>
        </w:rPr>
        <w:t>Rationale for disclosing personal interests</w:t>
      </w:r>
    </w:p>
    <w:p w14:paraId="66A2C728" w14:textId="5340AC50"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You should make a</w:t>
      </w:r>
      <w:r w:rsidR="008B3457">
        <w:rPr>
          <w:rFonts w:ascii="Calibri" w:eastAsia="Times New Roman" w:hAnsi="Calibri" w:cs="Calibri"/>
          <w:bCs/>
          <w:kern w:val="28"/>
          <w:sz w:val="24"/>
          <w:szCs w:val="24"/>
          <w:lang w:eastAsia="en-GB"/>
        </w:rPr>
        <w:t xml:space="preserve"> </w:t>
      </w:r>
      <w:r w:rsidRPr="000A0C0D">
        <w:rPr>
          <w:rFonts w:ascii="Calibri" w:eastAsia="Times New Roman" w:hAnsi="Calibri" w:cs="Calibri"/>
          <w:bCs/>
          <w:kern w:val="28"/>
          <w:sz w:val="24"/>
          <w:szCs w:val="24"/>
          <w:lang w:eastAsia="en-GB"/>
        </w:rPr>
        <w:t>disclosure of your relevant personal interests and disclose any interest that conflicts, or may potentially conflict, with your appointment (using the form provided). This disclosure process:</w:t>
      </w:r>
    </w:p>
    <w:p w14:paraId="0DBF4730" w14:textId="77777777" w:rsidR="000A0C0D" w:rsidRPr="000A0C0D" w:rsidRDefault="000A0C0D" w:rsidP="000A0C0D">
      <w:pPr>
        <w:numPr>
          <w:ilvl w:val="0"/>
          <w:numId w:val="6"/>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Strengthens public trust and confidence in the integrity of Greater Wellington’s processes and decision-making</w:t>
      </w:r>
    </w:p>
    <w:p w14:paraId="7E1AC75D" w14:textId="77777777" w:rsidR="000A0C0D" w:rsidRPr="000A0C0D" w:rsidRDefault="000A0C0D" w:rsidP="000A0C0D">
      <w:pPr>
        <w:numPr>
          <w:ilvl w:val="0"/>
          <w:numId w:val="6"/>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Promotes the highest standards of behaviour and conduct for Committee members</w:t>
      </w:r>
    </w:p>
    <w:p w14:paraId="645F2D33" w14:textId="77777777" w:rsidR="000A0C0D" w:rsidRPr="000A0C0D" w:rsidRDefault="000A0C0D" w:rsidP="000A0C0D">
      <w:pPr>
        <w:numPr>
          <w:ilvl w:val="0"/>
          <w:numId w:val="6"/>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Assists your compliance with relevant legislation (e.g. the Local Authorities (Members’ Interests) Act 1968) and the Controller and Auditor-General’s guidance (see below). </w:t>
      </w:r>
    </w:p>
    <w:p w14:paraId="3255E574" w14:textId="77777777" w:rsidR="000A0C0D" w:rsidRPr="000A0C0D" w:rsidRDefault="000A0C0D" w:rsidP="000A0C0D">
      <w:pPr>
        <w:spacing w:before="240" w:after="240" w:line="240" w:lineRule="auto"/>
        <w:jc w:val="both"/>
        <w:rPr>
          <w:rFonts w:ascii="Calibri" w:eastAsia="Times New Roman" w:hAnsi="Calibri" w:cs="Calibri"/>
          <w:b/>
          <w:bCs/>
          <w:kern w:val="28"/>
          <w:sz w:val="26"/>
          <w:szCs w:val="24"/>
          <w:lang w:eastAsia="en-GB"/>
        </w:rPr>
      </w:pPr>
      <w:r w:rsidRPr="000A0C0D">
        <w:rPr>
          <w:rFonts w:ascii="Calibri" w:eastAsia="Times New Roman" w:hAnsi="Calibri" w:cs="Calibri"/>
          <w:b/>
          <w:bCs/>
          <w:kern w:val="28"/>
          <w:sz w:val="26"/>
          <w:szCs w:val="24"/>
          <w:lang w:eastAsia="en-GB"/>
        </w:rPr>
        <w:t>Greater Wellington’s related processes</w:t>
      </w:r>
    </w:p>
    <w:p w14:paraId="24506A82"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Greater Wellington’s additional processes to support appointed Committee members in this area include:</w:t>
      </w:r>
    </w:p>
    <w:p w14:paraId="3C12CF20" w14:textId="77777777" w:rsidR="000A0C0D" w:rsidRPr="000A0C0D" w:rsidRDefault="000A0C0D" w:rsidP="000A0C0D">
      <w:pPr>
        <w:numPr>
          <w:ilvl w:val="0"/>
          <w:numId w:val="1"/>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Providing information to appointed Committee members on conflicts of interest at the time of their appointment</w:t>
      </w:r>
    </w:p>
    <w:p w14:paraId="38A0C68F" w14:textId="77777777" w:rsidR="000A0C0D" w:rsidRPr="000A0C0D" w:rsidRDefault="000A0C0D" w:rsidP="000A0C0D">
      <w:pPr>
        <w:numPr>
          <w:ilvl w:val="0"/>
          <w:numId w:val="1"/>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Recording an appointed Committee member’s disclosed interests at the time of appointment</w:t>
      </w:r>
    </w:p>
    <w:p w14:paraId="0AEE1DD1" w14:textId="77777777" w:rsidR="000A0C0D" w:rsidRPr="000A0C0D" w:rsidRDefault="000A0C0D" w:rsidP="000A0C0D">
      <w:pPr>
        <w:numPr>
          <w:ilvl w:val="0"/>
          <w:numId w:val="1"/>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Having ‘Conflicts of interest declaration’ as a standard agenda item at Committee meetings</w:t>
      </w:r>
    </w:p>
    <w:p w14:paraId="6BFA8170" w14:textId="12F302A5" w:rsidR="000A0C0D" w:rsidRPr="000A0C0D" w:rsidRDefault="000A0C0D" w:rsidP="000A0C0D">
      <w:pPr>
        <w:numPr>
          <w:ilvl w:val="0"/>
          <w:numId w:val="1"/>
        </w:numPr>
        <w:spacing w:before="60" w:after="24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Providing each appointed Committee member with the opportunity to regularly review their disclosed personal interests (the annual review).</w:t>
      </w:r>
    </w:p>
    <w:p w14:paraId="04448D78" w14:textId="77777777" w:rsidR="000A0C0D" w:rsidRPr="000A0C0D" w:rsidRDefault="000A0C0D" w:rsidP="000A0C0D">
      <w:pPr>
        <w:spacing w:after="200" w:line="276" w:lineRule="auto"/>
        <w:rPr>
          <w:rFonts w:ascii="Calibri" w:eastAsia="Times New Roman" w:hAnsi="Calibri" w:cs="Calibri"/>
          <w:b/>
          <w:bCs/>
          <w:kern w:val="28"/>
          <w:sz w:val="26"/>
          <w:szCs w:val="24"/>
          <w:lang w:eastAsia="en-GB"/>
        </w:rPr>
      </w:pPr>
      <w:r w:rsidRPr="000A0C0D">
        <w:rPr>
          <w:rFonts w:ascii="Calibri" w:eastAsia="Times New Roman" w:hAnsi="Calibri" w:cs="Calibri"/>
          <w:b/>
          <w:bCs/>
          <w:kern w:val="28"/>
          <w:sz w:val="26"/>
          <w:szCs w:val="24"/>
          <w:lang w:eastAsia="en-GB"/>
        </w:rPr>
        <w:br w:type="page"/>
      </w:r>
    </w:p>
    <w:p w14:paraId="54F3D7BC" w14:textId="77777777" w:rsidR="000A0C0D" w:rsidRPr="000A0C0D" w:rsidRDefault="000A0C0D" w:rsidP="000A0C0D">
      <w:pPr>
        <w:spacing w:before="240" w:after="240" w:line="240" w:lineRule="auto"/>
        <w:jc w:val="both"/>
        <w:rPr>
          <w:rFonts w:ascii="Calibri" w:eastAsia="Times New Roman" w:hAnsi="Calibri" w:cs="Calibri"/>
          <w:b/>
          <w:bCs/>
          <w:kern w:val="28"/>
          <w:sz w:val="26"/>
          <w:szCs w:val="24"/>
          <w:lang w:eastAsia="en-GB"/>
        </w:rPr>
      </w:pPr>
      <w:r w:rsidRPr="000A0C0D">
        <w:rPr>
          <w:rFonts w:ascii="Calibri" w:eastAsia="Times New Roman" w:hAnsi="Calibri" w:cs="Calibri"/>
          <w:b/>
          <w:bCs/>
          <w:kern w:val="28"/>
          <w:sz w:val="26"/>
          <w:szCs w:val="24"/>
          <w:lang w:eastAsia="en-GB"/>
        </w:rPr>
        <w:lastRenderedPageBreak/>
        <w:t>Pecuniary (financial) interests</w:t>
      </w:r>
    </w:p>
    <w:p w14:paraId="29A82868"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The </w:t>
      </w:r>
      <w:hyperlink r:id="rId13" w:history="1">
        <w:r w:rsidRPr="000A0C0D">
          <w:rPr>
            <w:rFonts w:ascii="Calibri" w:eastAsia="Times New Roman" w:hAnsi="Calibri" w:cs="Calibri"/>
            <w:bCs/>
            <w:color w:val="0000FF"/>
            <w:kern w:val="28"/>
            <w:sz w:val="24"/>
            <w:szCs w:val="24"/>
            <w:u w:val="single"/>
            <w:lang w:eastAsia="en-GB"/>
          </w:rPr>
          <w:t>Local Authorities (Members’ Interests) Act 1968</w:t>
        </w:r>
      </w:hyperlink>
      <w:r w:rsidRPr="000A0C0D">
        <w:rPr>
          <w:rFonts w:ascii="Calibri" w:eastAsia="Times New Roman" w:hAnsi="Calibri" w:cs="Calibri"/>
          <w:bCs/>
          <w:kern w:val="28"/>
          <w:sz w:val="24"/>
          <w:szCs w:val="24"/>
          <w:lang w:eastAsia="en-GB"/>
        </w:rPr>
        <w:t xml:space="preserve"> (the LAMIA)</w:t>
      </w:r>
      <w:r w:rsidRPr="000A0C0D">
        <w:rPr>
          <w:rFonts w:ascii="Calibri" w:eastAsia="Times New Roman" w:hAnsi="Calibri" w:cs="Calibri"/>
          <w:bCs/>
          <w:kern w:val="28"/>
          <w:sz w:val="24"/>
          <w:szCs w:val="24"/>
          <w:vertAlign w:val="superscript"/>
          <w:lang w:eastAsia="en-GB"/>
        </w:rPr>
        <w:footnoteReference w:id="1"/>
      </w:r>
      <w:r w:rsidRPr="000A0C0D">
        <w:rPr>
          <w:rFonts w:ascii="Calibri" w:eastAsia="Times New Roman" w:hAnsi="Calibri" w:cs="Calibri"/>
          <w:bCs/>
          <w:kern w:val="28"/>
          <w:sz w:val="24"/>
          <w:szCs w:val="24"/>
          <w:lang w:eastAsia="en-GB"/>
        </w:rPr>
        <w:t>:</w:t>
      </w:r>
    </w:p>
    <w:p w14:paraId="341C9CF4" w14:textId="77777777" w:rsidR="000A0C0D" w:rsidRPr="000A0C0D" w:rsidRDefault="000A0C0D" w:rsidP="000A0C0D">
      <w:pPr>
        <w:spacing w:before="60" w:line="240" w:lineRule="auto"/>
        <w:ind w:left="284" w:right="23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helps protect the integrity of local authority decision-making by ensuring that people are not affected by personal motives when they participate in local authority decision-making and cannot use their position to obtain preferential access to contracts.</w:t>
      </w:r>
    </w:p>
    <w:p w14:paraId="48BE0C10"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The LAMIA has two main rules:</w:t>
      </w:r>
    </w:p>
    <w:p w14:paraId="3DE1B055" w14:textId="77777777" w:rsidR="000A0C0D" w:rsidRPr="000A0C0D" w:rsidRDefault="000A0C0D" w:rsidP="000A0C0D">
      <w:pPr>
        <w:numPr>
          <w:ilvl w:val="0"/>
          <w:numId w:val="5"/>
        </w:numPr>
        <w:tabs>
          <w:tab w:val="left" w:pos="567"/>
        </w:tabs>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Members cannot benefit from contracts with their local authority if payments made under those contracts are more than $25,000 (GST inclusive) in any financial year – </w:t>
      </w:r>
      <w:r w:rsidRPr="000A0C0D">
        <w:rPr>
          <w:rFonts w:ascii="Calibri" w:eastAsia="Times New Roman" w:hAnsi="Calibri" w:cs="Calibri"/>
          <w:b/>
          <w:bCs/>
          <w:kern w:val="28"/>
          <w:sz w:val="24"/>
          <w:szCs w:val="24"/>
          <w:lang w:eastAsia="en-GB"/>
        </w:rPr>
        <w:t>the contracting rule</w:t>
      </w:r>
      <w:r w:rsidRPr="000A0C0D">
        <w:rPr>
          <w:rFonts w:ascii="Calibri" w:eastAsia="Times New Roman" w:hAnsi="Calibri" w:cs="Calibri"/>
          <w:bCs/>
          <w:kern w:val="28"/>
          <w:sz w:val="24"/>
          <w:szCs w:val="24"/>
          <w:lang w:eastAsia="en-GB"/>
        </w:rPr>
        <w:t xml:space="preserve"> (section 3)</w:t>
      </w:r>
    </w:p>
    <w:p w14:paraId="163683A6" w14:textId="77777777" w:rsidR="000A0C0D" w:rsidRPr="000A0C0D" w:rsidRDefault="000A0C0D" w:rsidP="000A0C0D">
      <w:pPr>
        <w:numPr>
          <w:ilvl w:val="0"/>
          <w:numId w:val="5"/>
        </w:numPr>
        <w:tabs>
          <w:tab w:val="left" w:pos="567"/>
        </w:tabs>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Members cannot participate in matters before their local authority in which they have a financial interest, other than an interest in common with the public – </w:t>
      </w:r>
      <w:r w:rsidRPr="000A0C0D">
        <w:rPr>
          <w:rFonts w:ascii="Calibri" w:eastAsia="Times New Roman" w:hAnsi="Calibri" w:cs="Calibri"/>
          <w:b/>
          <w:bCs/>
          <w:kern w:val="28"/>
          <w:sz w:val="24"/>
          <w:szCs w:val="24"/>
          <w:lang w:eastAsia="en-GB"/>
        </w:rPr>
        <w:t>the non-participation rule</w:t>
      </w:r>
      <w:r w:rsidRPr="000A0C0D">
        <w:rPr>
          <w:rFonts w:ascii="Calibri" w:eastAsia="Times New Roman" w:hAnsi="Calibri" w:cs="Calibri"/>
          <w:bCs/>
          <w:kern w:val="28"/>
          <w:sz w:val="24"/>
          <w:szCs w:val="24"/>
          <w:lang w:eastAsia="en-GB"/>
        </w:rPr>
        <w:t xml:space="preserve"> (section 6).</w:t>
      </w:r>
    </w:p>
    <w:p w14:paraId="446537D1" w14:textId="77777777" w:rsidR="000A0C0D" w:rsidRPr="000A0C0D" w:rsidRDefault="000A0C0D" w:rsidP="000A0C0D">
      <w:pPr>
        <w:tabs>
          <w:tab w:val="left" w:pos="567"/>
        </w:tabs>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‘Members’ includes appointed members to a local authority committee or subcommittee.</w:t>
      </w:r>
    </w:p>
    <w:p w14:paraId="7A1B35D2" w14:textId="77777777" w:rsidR="000A0C0D" w:rsidRPr="000A0C0D" w:rsidRDefault="000A0C0D" w:rsidP="000A0C0D">
      <w:pPr>
        <w:spacing w:after="24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As the application of the LAMIA and these rules can be complex, we suggest proposed Committee members familiarise themselves with the Auditor-General’s publication </w:t>
      </w:r>
      <w:hyperlink r:id="rId14" w:history="1">
        <w:r w:rsidRPr="000A0C0D">
          <w:rPr>
            <w:rFonts w:ascii="Calibri" w:eastAsia="Times New Roman" w:hAnsi="Calibri" w:cs="Calibri"/>
            <w:bCs/>
            <w:i/>
            <w:color w:val="0000FF"/>
            <w:kern w:val="28"/>
            <w:sz w:val="24"/>
            <w:szCs w:val="24"/>
            <w:u w:val="single"/>
            <w:lang w:val="en" w:eastAsia="en-GB"/>
          </w:rPr>
          <w:t>Local Authorities (Members’ Interests) Act 1968: A guide for members of local authorities on managing financial conflicts of interest</w:t>
        </w:r>
      </w:hyperlink>
      <w:r w:rsidRPr="000A0C0D">
        <w:rPr>
          <w:rFonts w:ascii="Calibri" w:eastAsia="Times New Roman" w:hAnsi="Calibri" w:cs="Calibri"/>
          <w:bCs/>
          <w:kern w:val="28"/>
          <w:sz w:val="24"/>
          <w:szCs w:val="24"/>
          <w:lang w:val="en" w:eastAsia="en-GB"/>
        </w:rPr>
        <w:t>, June 2020 (the Guide)</w:t>
      </w:r>
      <w:r w:rsidRPr="000A0C0D">
        <w:rPr>
          <w:rFonts w:ascii="Calibri" w:eastAsia="Times New Roman" w:hAnsi="Calibri" w:cs="Calibri"/>
          <w:bCs/>
          <w:kern w:val="28"/>
          <w:sz w:val="24"/>
          <w:szCs w:val="24"/>
          <w:lang w:eastAsia="en-GB"/>
        </w:rPr>
        <w:t>.</w:t>
      </w:r>
    </w:p>
    <w:p w14:paraId="00ECC4E2" w14:textId="77777777" w:rsidR="000A0C0D" w:rsidRPr="000A0C0D" w:rsidRDefault="000A0C0D" w:rsidP="000A0C0D">
      <w:pPr>
        <w:spacing w:before="240" w:after="240" w:line="240" w:lineRule="auto"/>
        <w:jc w:val="both"/>
        <w:rPr>
          <w:rFonts w:ascii="Calibri" w:eastAsia="Times New Roman" w:hAnsi="Calibri" w:cs="Calibri"/>
          <w:b/>
          <w:bCs/>
          <w:i/>
          <w:kern w:val="28"/>
          <w:sz w:val="26"/>
          <w:szCs w:val="24"/>
          <w:lang w:eastAsia="en-GB"/>
        </w:rPr>
      </w:pPr>
      <w:r w:rsidRPr="000A0C0D">
        <w:rPr>
          <w:rFonts w:ascii="Calibri" w:eastAsia="Times New Roman" w:hAnsi="Calibri" w:cs="Calibri"/>
          <w:b/>
          <w:bCs/>
          <w:i/>
          <w:kern w:val="28"/>
          <w:sz w:val="26"/>
          <w:szCs w:val="24"/>
          <w:lang w:eastAsia="en-GB"/>
        </w:rPr>
        <w:t>The contracting rule</w:t>
      </w:r>
    </w:p>
    <w:p w14:paraId="1649D4DE"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The general application of the contracting rule provides that:</w:t>
      </w:r>
    </w:p>
    <w:p w14:paraId="2977F60F" w14:textId="77777777" w:rsidR="000A0C0D" w:rsidRPr="000A0C0D" w:rsidRDefault="000A0C0D" w:rsidP="000A0C0D">
      <w:pPr>
        <w:numPr>
          <w:ilvl w:val="0"/>
          <w:numId w:val="4"/>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You are disqualified from appointment to a local authority committee if the total of all payments made, or to be made, by or on behalf of a local authority for all contracts in which you are concerned or interested exceeds $25,000 (GST inclusive) in any financial year. There is an exception if the local authority makes a special case to the Auditor-General and obtains prior approval of the contract before you are appointed (see paragraphs 2.41 to 2.57 of the Guide).</w:t>
      </w:r>
    </w:p>
    <w:p w14:paraId="7A275F45" w14:textId="77777777" w:rsidR="000A0C0D" w:rsidRPr="000A0C0D" w:rsidRDefault="000A0C0D" w:rsidP="000A0C0D">
      <w:pPr>
        <w:numPr>
          <w:ilvl w:val="0"/>
          <w:numId w:val="4"/>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As an appointed member of a local authority committee, if you then become or are deemed “concerned or interested” in a contract in breach of the contracting rule, you are disqualified automatically from office. It is an offence under the LAMIA for you to act as a committee member while disqualified. </w:t>
      </w:r>
      <w:r w:rsidRPr="000A0C0D">
        <w:rPr>
          <w:rFonts w:ascii="Calibri" w:eastAsia="Times New Roman" w:hAnsi="Calibri" w:cs="Calibri"/>
          <w:bCs/>
          <w:color w:val="000000"/>
          <w:kern w:val="28"/>
          <w:sz w:val="24"/>
          <w:szCs w:val="24"/>
          <w:lang w:eastAsia="en-GB"/>
        </w:rPr>
        <w:t>You can avoid disqualification if the local authority applies for retrospective approval from the Auditor-General for the contract (see paragraphs 2.46 to 2.49 of the Guide). There is no guarantee that such approval will be given.</w:t>
      </w:r>
    </w:p>
    <w:p w14:paraId="537EDD01" w14:textId="77777777" w:rsidR="000A0C0D" w:rsidRPr="000A0C0D" w:rsidRDefault="000A0C0D" w:rsidP="000A0C0D">
      <w:pPr>
        <w:numPr>
          <w:ilvl w:val="0"/>
          <w:numId w:val="4"/>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‘Contract’ means a contract made by any person directly with the local authority, and includes any relationship with the local authority that is intended to constitute a contract even if it is not an enforceable contract. The Office of the Auditor-General (OAG) clarified that ‘contract’ includes appointments to committees and subcommittees and that ‘payment’ includes a related honorarium or meeting fee.</w:t>
      </w:r>
    </w:p>
    <w:p w14:paraId="44F1460E"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p>
    <w:p w14:paraId="771966FE" w14:textId="77777777" w:rsidR="000A0C0D" w:rsidRPr="000A0C0D" w:rsidRDefault="000A0C0D" w:rsidP="000A0C0D">
      <w:pPr>
        <w:numPr>
          <w:ilvl w:val="0"/>
          <w:numId w:val="4"/>
        </w:numPr>
        <w:spacing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lastRenderedPageBreak/>
        <w:t>You are ‘concerned or interested’ in a contract where:</w:t>
      </w:r>
    </w:p>
    <w:p w14:paraId="24910B4C" w14:textId="77777777" w:rsidR="000A0C0D" w:rsidRPr="000A0C0D" w:rsidRDefault="000A0C0D" w:rsidP="000A0C0D">
      <w:pPr>
        <w:numPr>
          <w:ilvl w:val="1"/>
          <w:numId w:val="4"/>
        </w:numPr>
        <w:spacing w:after="0" w:line="240" w:lineRule="auto"/>
        <w:ind w:left="1134"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You are a party to the contract</w:t>
      </w:r>
    </w:p>
    <w:p w14:paraId="6B6B212C" w14:textId="77777777" w:rsidR="000A0C0D" w:rsidRPr="000A0C0D" w:rsidRDefault="000A0C0D" w:rsidP="000A0C0D">
      <w:pPr>
        <w:numPr>
          <w:ilvl w:val="1"/>
          <w:numId w:val="4"/>
        </w:numPr>
        <w:spacing w:after="0" w:line="240" w:lineRule="auto"/>
        <w:ind w:left="1134"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The contract is between your local authority and another person or organisation and you benefit financially from that contract or the LAMIA deems you to be concerned or interested in that contract.</w:t>
      </w:r>
    </w:p>
    <w:p w14:paraId="07E48887" w14:textId="296BE014" w:rsidR="000A0C0D" w:rsidRPr="000A0C0D" w:rsidRDefault="000A0C0D" w:rsidP="3077017B">
      <w:pPr>
        <w:spacing w:line="240" w:lineRule="auto"/>
        <w:ind w:left="567"/>
        <w:jc w:val="both"/>
        <w:rPr>
          <w:rFonts w:ascii="Calibri" w:eastAsia="Times New Roman" w:hAnsi="Calibri" w:cs="Calibri"/>
          <w:kern w:val="28"/>
          <w:sz w:val="24"/>
          <w:szCs w:val="24"/>
          <w:lang w:eastAsia="en-GB"/>
        </w:rPr>
      </w:pPr>
      <w:r w:rsidRPr="3077017B">
        <w:rPr>
          <w:rFonts w:ascii="Calibri" w:eastAsia="Times New Roman" w:hAnsi="Calibri" w:cs="Calibri"/>
          <w:kern w:val="28"/>
          <w:sz w:val="24"/>
          <w:szCs w:val="24"/>
          <w:lang w:eastAsia="en-GB"/>
        </w:rPr>
        <w:t xml:space="preserve">Deemed interests can be through your spouse or partner, or through a company in which you or your spouse or partner have some interest or involvement. As the related requirements can be complex refer to paragraphs 2.19 and 2.20 of the Guide. </w:t>
      </w:r>
    </w:p>
    <w:p w14:paraId="65565A1D"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For information on how the contracting rule applies to subcontracts and on further exceptions to disqualification, see paragraphs 2.26 to 2.35 of the Guide. For information on the contracting rule generally, see Part 2 of the Guide.</w:t>
      </w:r>
    </w:p>
    <w:p w14:paraId="3CCBF7C8" w14:textId="77777777" w:rsidR="000A0C0D" w:rsidRPr="000A0C0D" w:rsidRDefault="000A0C0D" w:rsidP="000A0C0D">
      <w:pPr>
        <w:spacing w:before="240" w:after="240" w:line="240" w:lineRule="auto"/>
        <w:jc w:val="both"/>
        <w:rPr>
          <w:rFonts w:ascii="Calibri" w:eastAsia="Times New Roman" w:hAnsi="Calibri" w:cs="Calibri"/>
          <w:b/>
          <w:bCs/>
          <w:i/>
          <w:kern w:val="28"/>
          <w:sz w:val="26"/>
          <w:szCs w:val="24"/>
          <w:lang w:eastAsia="en-GB"/>
        </w:rPr>
      </w:pPr>
      <w:r w:rsidRPr="000A0C0D">
        <w:rPr>
          <w:rFonts w:ascii="Calibri" w:eastAsia="Times New Roman" w:hAnsi="Calibri" w:cs="Calibri"/>
          <w:b/>
          <w:bCs/>
          <w:i/>
          <w:kern w:val="28"/>
          <w:sz w:val="26"/>
          <w:szCs w:val="24"/>
          <w:lang w:eastAsia="en-GB"/>
        </w:rPr>
        <w:t>The non-participation rule</w:t>
      </w:r>
    </w:p>
    <w:p w14:paraId="77ED870C" w14:textId="77777777" w:rsidR="000A0C0D" w:rsidRPr="000A0C0D" w:rsidRDefault="000A0C0D" w:rsidP="000A0C0D">
      <w:pPr>
        <w:spacing w:before="60" w:line="240" w:lineRule="auto"/>
        <w:jc w:val="both"/>
        <w:rPr>
          <w:rFonts w:ascii="Calibri" w:eastAsia="Times New Roman" w:hAnsi="Calibri" w:cs="Calibri"/>
          <w:bCs/>
          <w:color w:val="000000"/>
          <w:kern w:val="28"/>
          <w:sz w:val="24"/>
          <w:szCs w:val="24"/>
          <w:lang w:eastAsia="en-GB"/>
        </w:rPr>
      </w:pPr>
      <w:r w:rsidRPr="000A0C0D">
        <w:rPr>
          <w:rFonts w:ascii="Calibri" w:eastAsia="Times New Roman" w:hAnsi="Calibri" w:cs="Calibri"/>
          <w:bCs/>
          <w:color w:val="000000"/>
          <w:kern w:val="28"/>
          <w:sz w:val="24"/>
          <w:szCs w:val="24"/>
          <w:lang w:eastAsia="en-GB"/>
        </w:rPr>
        <w:t xml:space="preserve">The application of the non-participation rule means that an appointed Committee member must not take part in the discussion of, or vote on, any matter before the Committee of which they are a member (the related </w:t>
      </w:r>
      <w:r w:rsidRPr="000A0C0D">
        <w:rPr>
          <w:rFonts w:ascii="Calibri" w:eastAsia="Times New Roman" w:hAnsi="Calibri" w:cs="Calibri"/>
          <w:bCs/>
          <w:kern w:val="28"/>
          <w:sz w:val="24"/>
          <w:szCs w:val="24"/>
          <w:lang w:eastAsia="en-GB"/>
        </w:rPr>
        <w:t xml:space="preserve">Committee) where that </w:t>
      </w:r>
      <w:r w:rsidRPr="000A0C0D">
        <w:rPr>
          <w:rFonts w:ascii="Calibri" w:eastAsia="Times New Roman" w:hAnsi="Calibri" w:cs="Calibri"/>
          <w:bCs/>
          <w:color w:val="000000"/>
          <w:kern w:val="28"/>
          <w:sz w:val="24"/>
          <w:szCs w:val="24"/>
          <w:lang w:eastAsia="en-GB"/>
        </w:rPr>
        <w:t>member has a financial interest in the matter unless one of the following conditions applies:</w:t>
      </w:r>
    </w:p>
    <w:p w14:paraId="6E62DDEE" w14:textId="77777777" w:rsidR="000A0C0D" w:rsidRPr="000A0C0D" w:rsidRDefault="000A0C0D" w:rsidP="000A0C0D">
      <w:pPr>
        <w:numPr>
          <w:ilvl w:val="0"/>
          <w:numId w:val="7"/>
        </w:numPr>
        <w:autoSpaceDE w:val="0"/>
        <w:autoSpaceDN w:val="0"/>
        <w:adjustRightInd w:val="0"/>
        <w:spacing w:after="0" w:line="240" w:lineRule="auto"/>
        <w:ind w:left="567" w:hanging="567"/>
        <w:jc w:val="both"/>
        <w:rPr>
          <w:rFonts w:ascii="Calibri" w:eastAsia="Calibri" w:hAnsi="Calibri" w:cs="Calibri"/>
          <w:color w:val="000000"/>
          <w:sz w:val="24"/>
          <w:szCs w:val="24"/>
        </w:rPr>
      </w:pPr>
      <w:r w:rsidRPr="000A0C0D">
        <w:rPr>
          <w:rFonts w:ascii="Calibri" w:eastAsia="Calibri" w:hAnsi="Calibri" w:cs="Calibri"/>
          <w:color w:val="000000"/>
          <w:sz w:val="24"/>
          <w:szCs w:val="24"/>
        </w:rPr>
        <w:t>Your interest is ‘in common with the public’;</w:t>
      </w:r>
    </w:p>
    <w:p w14:paraId="61E8D5FD" w14:textId="77777777" w:rsidR="000A0C0D" w:rsidRPr="000A0C0D" w:rsidRDefault="000A0C0D" w:rsidP="000A0C0D">
      <w:pPr>
        <w:numPr>
          <w:ilvl w:val="0"/>
          <w:numId w:val="7"/>
        </w:numPr>
        <w:autoSpaceDE w:val="0"/>
        <w:autoSpaceDN w:val="0"/>
        <w:adjustRightInd w:val="0"/>
        <w:spacing w:after="0" w:line="240" w:lineRule="auto"/>
        <w:ind w:left="567" w:hanging="567"/>
        <w:jc w:val="both"/>
        <w:rPr>
          <w:rFonts w:ascii="Calibri" w:eastAsia="Calibri" w:hAnsi="Calibri" w:cs="Calibri"/>
          <w:color w:val="000000"/>
          <w:sz w:val="24"/>
          <w:szCs w:val="24"/>
        </w:rPr>
      </w:pPr>
      <w:r w:rsidRPr="000A0C0D">
        <w:rPr>
          <w:rFonts w:ascii="Calibri" w:eastAsia="Calibri" w:hAnsi="Calibri" w:cs="Calibri"/>
          <w:color w:val="000000"/>
          <w:sz w:val="24"/>
          <w:szCs w:val="24"/>
        </w:rPr>
        <w:t>One of the exceptions to the non-participation rule applies;</w:t>
      </w:r>
    </w:p>
    <w:p w14:paraId="3C6645B8" w14:textId="77777777" w:rsidR="000A0C0D" w:rsidRPr="000A0C0D" w:rsidRDefault="000A0C0D" w:rsidP="000A0C0D">
      <w:pPr>
        <w:numPr>
          <w:ilvl w:val="0"/>
          <w:numId w:val="7"/>
        </w:numPr>
        <w:autoSpaceDE w:val="0"/>
        <w:autoSpaceDN w:val="0"/>
        <w:adjustRightInd w:val="0"/>
        <w:spacing w:after="0" w:line="240" w:lineRule="auto"/>
        <w:ind w:left="567" w:hanging="567"/>
        <w:jc w:val="both"/>
        <w:rPr>
          <w:rFonts w:ascii="Calibri" w:eastAsia="Calibri" w:hAnsi="Calibri" w:cs="Calibri"/>
          <w:color w:val="000000"/>
          <w:sz w:val="24"/>
          <w:szCs w:val="24"/>
        </w:rPr>
      </w:pPr>
      <w:r w:rsidRPr="000A0C0D">
        <w:rPr>
          <w:rFonts w:ascii="Calibri" w:eastAsia="Calibri" w:hAnsi="Calibri" w:cs="Calibri"/>
          <w:color w:val="000000"/>
          <w:sz w:val="24"/>
          <w:szCs w:val="24"/>
        </w:rPr>
        <w:t>You apply to the Auditor-General and are granted an exemption allowing you to participate; or</w:t>
      </w:r>
    </w:p>
    <w:p w14:paraId="3A8D7285" w14:textId="77777777" w:rsidR="000A0C0D" w:rsidRPr="000A0C0D" w:rsidRDefault="000A0C0D" w:rsidP="000A0C0D">
      <w:pPr>
        <w:numPr>
          <w:ilvl w:val="0"/>
          <w:numId w:val="7"/>
        </w:numPr>
        <w:autoSpaceDE w:val="0"/>
        <w:autoSpaceDN w:val="0"/>
        <w:adjustRightInd w:val="0"/>
        <w:spacing w:after="240" w:line="240" w:lineRule="auto"/>
        <w:ind w:left="567" w:hanging="567"/>
        <w:jc w:val="both"/>
        <w:rPr>
          <w:rFonts w:ascii="Calibri" w:eastAsia="Calibri" w:hAnsi="Calibri" w:cs="Calibri"/>
          <w:color w:val="000000"/>
          <w:sz w:val="24"/>
          <w:szCs w:val="24"/>
        </w:rPr>
      </w:pPr>
      <w:r w:rsidRPr="000A0C0D">
        <w:rPr>
          <w:rFonts w:ascii="Calibri" w:eastAsia="Calibri" w:hAnsi="Calibri" w:cs="Calibri"/>
          <w:color w:val="000000"/>
          <w:sz w:val="24"/>
          <w:szCs w:val="24"/>
        </w:rPr>
        <w:t>You apply to the Auditor-General and are issued a declaration authorising you to participate.</w:t>
      </w:r>
    </w:p>
    <w:p w14:paraId="5F6F2784" w14:textId="3C0DA0F4" w:rsidR="000A0C0D" w:rsidRPr="000A0C0D" w:rsidRDefault="000A0C0D" w:rsidP="000A0C0D">
      <w:p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Greater Wellington therefore asks Committee members to disclose any financial interests associated with the related Committee (in addition to the financial interests disclosed under the contracting rule (see above)).</w:t>
      </w:r>
    </w:p>
    <w:p w14:paraId="464BCC91" w14:textId="77777777" w:rsidR="000A0C0D" w:rsidRPr="000A0C0D" w:rsidRDefault="000A0C0D" w:rsidP="000A0C0D">
      <w:pPr>
        <w:autoSpaceDE w:val="0"/>
        <w:autoSpaceDN w:val="0"/>
        <w:adjustRightInd w:val="0"/>
        <w:spacing w:after="240" w:line="240" w:lineRule="auto"/>
        <w:jc w:val="both"/>
        <w:rPr>
          <w:rFonts w:ascii="Calibri" w:eastAsia="Calibri" w:hAnsi="Calibri" w:cs="Calibri"/>
          <w:i/>
          <w:color w:val="000000"/>
          <w:sz w:val="24"/>
          <w:szCs w:val="24"/>
        </w:rPr>
      </w:pPr>
      <w:r w:rsidRPr="000A0C0D">
        <w:rPr>
          <w:rFonts w:ascii="Calibri" w:eastAsia="Calibri" w:hAnsi="Calibri" w:cs="Calibri"/>
          <w:i/>
          <w:color w:val="000000"/>
          <w:sz w:val="24"/>
          <w:szCs w:val="24"/>
        </w:rPr>
        <w:t>Key matters</w:t>
      </w:r>
    </w:p>
    <w:p w14:paraId="64F3B9CE" w14:textId="77777777" w:rsidR="000A0C0D" w:rsidRPr="000A0C0D" w:rsidRDefault="000A0C0D" w:rsidP="000A0C0D">
      <w:p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The key matters to note about the non-participation rule are that:</w:t>
      </w:r>
    </w:p>
    <w:p w14:paraId="752BF996" w14:textId="77777777" w:rsidR="000A0C0D" w:rsidRPr="000A0C0D" w:rsidRDefault="000A0C0D" w:rsidP="000A0C0D">
      <w:pPr>
        <w:numPr>
          <w:ilvl w:val="0"/>
          <w:numId w:val="8"/>
        </w:num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The LAMIA does not define ‘financial interest’ – the OAG’s interpretation is “a reasonable expectation of financial loss or gain” from the particular decision, noting that a financial interest may be direct or indirect</w:t>
      </w:r>
    </w:p>
    <w:p w14:paraId="3312E2F5" w14:textId="77777777" w:rsidR="000A0C0D" w:rsidRPr="000A0C0D" w:rsidRDefault="000A0C0D" w:rsidP="000A0C0D">
      <w:pPr>
        <w:numPr>
          <w:ilvl w:val="0"/>
          <w:numId w:val="8"/>
        </w:num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You can have a deemed interest through your spouse or partner, or if you or your spouse or partner is involved in a company that has a financial interest in a matter before the related Committee</w:t>
      </w:r>
    </w:p>
    <w:p w14:paraId="7699A765" w14:textId="77777777" w:rsidR="000A0C0D" w:rsidRPr="000A0C0D" w:rsidRDefault="000A0C0D" w:rsidP="000A0C0D">
      <w:pPr>
        <w:numPr>
          <w:ilvl w:val="0"/>
          <w:numId w:val="8"/>
        </w:num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Having an ‘interest in common with the public’ means your interest is no different in kind or degree to the general public’s interest in the matter</w:t>
      </w:r>
    </w:p>
    <w:p w14:paraId="7FB7B816" w14:textId="77777777" w:rsidR="000A0C0D" w:rsidRPr="000A0C0D" w:rsidRDefault="000A0C0D" w:rsidP="000A0C0D">
      <w:pPr>
        <w:numPr>
          <w:ilvl w:val="0"/>
          <w:numId w:val="8"/>
        </w:num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 xml:space="preserve">The non-participation rule is stricter than the equivalent rule under the Companies Act 1993 or the Crown Entities Act 2004. Under the LAMIA, it is not enough to declare your </w:t>
      </w:r>
      <w:r w:rsidRPr="000A0C0D">
        <w:rPr>
          <w:rFonts w:ascii="Calibri" w:eastAsia="Calibri" w:hAnsi="Calibri" w:cs="Calibri"/>
          <w:color w:val="000000"/>
          <w:sz w:val="24"/>
          <w:szCs w:val="24"/>
        </w:rPr>
        <w:lastRenderedPageBreak/>
        <w:t>financial interest in a matter – you cannot then participate in any related discussion or voting unless one of the conditions above applies</w:t>
      </w:r>
    </w:p>
    <w:p w14:paraId="461E217F" w14:textId="77777777" w:rsidR="000A0C0D" w:rsidRPr="000A0C0D" w:rsidRDefault="000A0C0D" w:rsidP="000A0C0D">
      <w:pPr>
        <w:numPr>
          <w:ilvl w:val="0"/>
          <w:numId w:val="8"/>
        </w:num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It is an offence under the LAMIA to discuss or vote on any matter before the related Committee in breach of the non-participation rule. If convicted, you will be automatically disqualified from office. You will have a defence if you can prove that, when you took part in the discussion of, or voted on, the matter, you did not know and had no reasonable opportunity of knowing that you had a financial interest in that matter other than an interest in common with the public.</w:t>
      </w:r>
    </w:p>
    <w:p w14:paraId="0CF7E892" w14:textId="77777777" w:rsidR="000A0C0D" w:rsidRPr="000A0C0D" w:rsidRDefault="000A0C0D" w:rsidP="000A0C0D">
      <w:pPr>
        <w:autoSpaceDE w:val="0"/>
        <w:autoSpaceDN w:val="0"/>
        <w:adjustRightInd w:val="0"/>
        <w:spacing w:after="240" w:line="240" w:lineRule="auto"/>
        <w:jc w:val="both"/>
        <w:rPr>
          <w:rFonts w:ascii="Calibri" w:eastAsia="Calibri" w:hAnsi="Calibri" w:cs="Calibri"/>
          <w:color w:val="000000"/>
          <w:sz w:val="24"/>
          <w:szCs w:val="24"/>
        </w:rPr>
      </w:pPr>
      <w:r w:rsidRPr="000A0C0D">
        <w:rPr>
          <w:rFonts w:ascii="Calibri" w:eastAsia="Calibri" w:hAnsi="Calibri" w:cs="Calibri"/>
          <w:color w:val="000000"/>
          <w:sz w:val="24"/>
          <w:szCs w:val="24"/>
        </w:rPr>
        <w:t>Information on exceptions to the non-participation rule and the Auditor-General’s power to grant exemptions or issue declarations can be found in paragraphs 4.45 to 4.65 of the Guide.</w:t>
      </w:r>
    </w:p>
    <w:p w14:paraId="1DA1DDF1" w14:textId="77777777" w:rsidR="000A0C0D" w:rsidRPr="000A0C0D" w:rsidRDefault="000A0C0D" w:rsidP="000A0C0D">
      <w:pPr>
        <w:spacing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Again, as the relevant situations can be complex, refer to Part 4 of the Guide.</w:t>
      </w:r>
    </w:p>
    <w:p w14:paraId="65CC232A" w14:textId="77777777" w:rsidR="000A0C0D" w:rsidRPr="000A0C0D" w:rsidRDefault="000A0C0D" w:rsidP="000A0C0D">
      <w:pPr>
        <w:spacing w:before="240" w:after="240" w:line="240" w:lineRule="auto"/>
        <w:rPr>
          <w:rFonts w:ascii="Calibri" w:eastAsia="Times New Roman" w:hAnsi="Calibri" w:cs="Calibri"/>
          <w:bCs/>
          <w:kern w:val="28"/>
          <w:sz w:val="24"/>
          <w:szCs w:val="24"/>
          <w:lang w:eastAsia="en-GB"/>
        </w:rPr>
      </w:pPr>
      <w:r w:rsidRPr="000A0C0D">
        <w:rPr>
          <w:rFonts w:ascii="Calibri" w:eastAsia="Times New Roman" w:hAnsi="Calibri" w:cs="Calibri"/>
          <w:b/>
          <w:bCs/>
          <w:i/>
          <w:kern w:val="28"/>
          <w:sz w:val="24"/>
          <w:szCs w:val="24"/>
          <w:lang w:eastAsia="en-GB"/>
        </w:rPr>
        <w:t>Non-pecuniary interests</w:t>
      </w:r>
    </w:p>
    <w:p w14:paraId="636E006F"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Non-pecuniary interests can also create conflicts of interest for an appointed Committee member. These conflicts generally relate to the common law issues of bias and pre-determination.</w:t>
      </w:r>
    </w:p>
    <w:p w14:paraId="0E139E09" w14:textId="77777777" w:rsidR="000A0C0D" w:rsidRPr="000A0C0D" w:rsidRDefault="000A0C0D" w:rsidP="000A0C0D">
      <w:pPr>
        <w:spacing w:before="240" w:after="24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i/>
          <w:kern w:val="28"/>
          <w:sz w:val="24"/>
          <w:szCs w:val="24"/>
          <w:lang w:eastAsia="en-GB"/>
        </w:rPr>
        <w:t>Common law</w:t>
      </w:r>
    </w:p>
    <w:p w14:paraId="21A26E7A"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A conflict, or potential conflict, of interest exists where two different interests intersect, or are perceived to intersect. This includes when you (or a person, business or group associated with you) benefits from a related Committee decision that you can influence.</w:t>
      </w:r>
    </w:p>
    <w:p w14:paraId="6F75026D"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The common law requires that a committee’s decision-making is procedurally fair. This requirement means that appointed Committee members with the power to make decisions affecting the rights and obligations of others carry out their duties fairly and free from bias and pre-determination.</w:t>
      </w:r>
    </w:p>
    <w:p w14:paraId="76EB1411"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The types of personal interest that an appointed Committee member can have that do or may create a conflict of interest include:</w:t>
      </w:r>
    </w:p>
    <w:p w14:paraId="336DD5C6"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A close relationship with an individual or organisation, or involvement in (including an investment) an organisation affected by a matter before the related Committee</w:t>
      </w:r>
    </w:p>
    <w:p w14:paraId="17AEE1AD"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A financial interest in an issue that is wider than the financial interests identified under the LAMIA</w:t>
      </w:r>
    </w:p>
    <w:p w14:paraId="2B146E09"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Employment, a shareholding, or a governance role in an organisation that is involved (or attempting to be involved) with the related Committee</w:t>
      </w:r>
    </w:p>
    <w:p w14:paraId="49CE0DFC"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Membership of other public bodies</w:t>
      </w:r>
    </w:p>
    <w:p w14:paraId="00FB57AA"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Prior statements or conduct that may indicate predetermination of an issue under consideration by the related Committee</w:t>
      </w:r>
    </w:p>
    <w:p w14:paraId="455EC370" w14:textId="77777777" w:rsidR="000A0C0D" w:rsidRPr="000A0C0D" w:rsidRDefault="000A0C0D" w:rsidP="000A0C0D">
      <w:pPr>
        <w:numPr>
          <w:ilvl w:val="0"/>
          <w:numId w:val="3"/>
        </w:numPr>
        <w:spacing w:before="60" w:after="0" w:line="240" w:lineRule="auto"/>
        <w:ind w:left="567" w:hanging="567"/>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Being, or having been, involved in a contract that involves advising the related Committee.</w:t>
      </w:r>
    </w:p>
    <w:p w14:paraId="5F7C7FBF" w14:textId="66BB6CB3" w:rsidR="000A0C0D" w:rsidRPr="000A0C0D" w:rsidRDefault="000A0C0D" w:rsidP="000A0C0D">
      <w:pPr>
        <w:spacing w:after="24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lastRenderedPageBreak/>
        <w:t>The form asks that you note your non-pecuniary interests that are, or may foreseeably be, in potential conflict with your role as an appointed Committee member. There is no obligation to provide personal or commercially sensitive details when disclosing these interests.</w:t>
      </w:r>
    </w:p>
    <w:p w14:paraId="463DA272" w14:textId="77777777" w:rsidR="000A0C0D" w:rsidRPr="000A0C0D" w:rsidRDefault="000A0C0D" w:rsidP="000A0C0D">
      <w:pPr>
        <w:spacing w:after="24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 xml:space="preserve">As there is a wide range of situations that may give rise to an actual or perceived conflict of interest, you should consider the guidance in the Auditor-General’s publication </w:t>
      </w:r>
      <w:hyperlink r:id="rId15" w:history="1">
        <w:r w:rsidRPr="000A0C0D">
          <w:rPr>
            <w:rFonts w:ascii="Calibri" w:eastAsia="Times New Roman" w:hAnsi="Calibri" w:cs="Calibri"/>
            <w:bCs/>
            <w:i/>
            <w:color w:val="0000FF"/>
            <w:kern w:val="28"/>
            <w:sz w:val="24"/>
            <w:szCs w:val="24"/>
            <w:u w:val="single"/>
            <w:lang w:val="en" w:eastAsia="en-GB"/>
          </w:rPr>
          <w:t>Managing conflicts of interest: A guide for the public sector</w:t>
        </w:r>
      </w:hyperlink>
      <w:r w:rsidRPr="000A0C0D">
        <w:rPr>
          <w:rFonts w:ascii="Calibri" w:eastAsia="Times New Roman" w:hAnsi="Calibri" w:cs="Calibri"/>
          <w:bCs/>
          <w:i/>
          <w:kern w:val="28"/>
          <w:sz w:val="24"/>
          <w:szCs w:val="24"/>
          <w:lang w:val="en" w:eastAsia="en-GB"/>
        </w:rPr>
        <w:t xml:space="preserve">, </w:t>
      </w:r>
      <w:r w:rsidRPr="000A0C0D">
        <w:rPr>
          <w:rFonts w:ascii="Calibri" w:eastAsia="Times New Roman" w:hAnsi="Calibri" w:cs="Calibri"/>
          <w:bCs/>
          <w:kern w:val="28"/>
          <w:sz w:val="24"/>
          <w:szCs w:val="24"/>
          <w:lang w:val="en" w:eastAsia="en-GB"/>
        </w:rPr>
        <w:t>June 2020.</w:t>
      </w:r>
    </w:p>
    <w:p w14:paraId="458DC402" w14:textId="77777777" w:rsidR="000A0C0D" w:rsidRPr="000A0C0D" w:rsidRDefault="000A0C0D" w:rsidP="000A0C0D">
      <w:pPr>
        <w:spacing w:before="60" w:line="240" w:lineRule="auto"/>
        <w:jc w:val="both"/>
        <w:rPr>
          <w:rFonts w:ascii="Calibri" w:eastAsia="Times New Roman" w:hAnsi="Calibri" w:cs="Calibri"/>
          <w:bCs/>
          <w:kern w:val="28"/>
          <w:sz w:val="24"/>
          <w:szCs w:val="24"/>
          <w:lang w:eastAsia="en-GB"/>
        </w:rPr>
      </w:pPr>
      <w:r w:rsidRPr="000A0C0D">
        <w:rPr>
          <w:rFonts w:ascii="Calibri" w:eastAsia="Times New Roman" w:hAnsi="Calibri" w:cs="Calibri"/>
          <w:bCs/>
          <w:kern w:val="28"/>
          <w:sz w:val="24"/>
          <w:szCs w:val="24"/>
          <w:lang w:eastAsia="en-GB"/>
        </w:rPr>
        <w:t>Note that the recording of an interest in the following form is not the disclosure of an actual conflict associated with an agenda item at a meeting of the related Committee. Appointed Committee members still need to disclose such conflicts at the related Committee meeting.</w:t>
      </w:r>
    </w:p>
    <w:p w14:paraId="6AA55D56" w14:textId="77777777" w:rsidR="000A0C0D" w:rsidRPr="000A0C0D" w:rsidRDefault="000A0C0D" w:rsidP="000A0C0D">
      <w:pPr>
        <w:spacing w:before="240" w:after="240" w:line="240" w:lineRule="auto"/>
        <w:rPr>
          <w:rFonts w:ascii="Calibri" w:eastAsia="Times New Roman" w:hAnsi="Calibri" w:cs="Calibri"/>
          <w:b/>
          <w:bCs/>
          <w:kern w:val="28"/>
          <w:sz w:val="24"/>
          <w:szCs w:val="24"/>
          <w:lang w:eastAsia="en-GB"/>
        </w:rPr>
      </w:pPr>
      <w:r w:rsidRPr="000A0C0D">
        <w:rPr>
          <w:rFonts w:ascii="Calibri" w:eastAsia="Times New Roman" w:hAnsi="Calibri" w:cs="Calibri"/>
          <w:b/>
          <w:bCs/>
          <w:kern w:val="28"/>
          <w:sz w:val="24"/>
          <w:szCs w:val="24"/>
          <w:lang w:eastAsia="en-GB"/>
        </w:rPr>
        <w:t>Further information</w:t>
      </w:r>
    </w:p>
    <w:p w14:paraId="64FA9990" w14:textId="77777777" w:rsidR="00B107E3" w:rsidRDefault="000A0C0D" w:rsidP="000A0C0D">
      <w:pPr>
        <w:spacing w:before="60" w:line="240" w:lineRule="auto"/>
        <w:jc w:val="both"/>
      </w:pPr>
      <w:r w:rsidRPr="000A0C0D">
        <w:rPr>
          <w:rFonts w:ascii="Calibri" w:eastAsia="Times New Roman" w:hAnsi="Calibri" w:cs="Calibri"/>
          <w:bCs/>
          <w:kern w:val="28"/>
          <w:sz w:val="24"/>
          <w:szCs w:val="24"/>
          <w:lang w:eastAsia="en-GB"/>
        </w:rPr>
        <w:t xml:space="preserve">If you want to discuss any issues associated with this review please contact </w:t>
      </w:r>
      <w:r>
        <w:rPr>
          <w:rFonts w:ascii="Calibri" w:eastAsia="Times New Roman" w:hAnsi="Calibri" w:cs="Calibri"/>
          <w:bCs/>
          <w:color w:val="0000FF"/>
          <w:kern w:val="28"/>
          <w:sz w:val="24"/>
          <w:szCs w:val="24"/>
          <w:u w:val="single"/>
          <w:lang w:eastAsia="en-GB"/>
        </w:rPr>
        <w:t>democratic.services@gw.govt.nz</w:t>
      </w:r>
    </w:p>
    <w:sectPr w:rsidR="00B107E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5F198" w14:textId="77777777" w:rsidR="009943C4" w:rsidRDefault="009943C4" w:rsidP="000A0C0D">
      <w:pPr>
        <w:spacing w:after="0" w:line="240" w:lineRule="auto"/>
      </w:pPr>
      <w:r>
        <w:separator/>
      </w:r>
    </w:p>
  </w:endnote>
  <w:endnote w:type="continuationSeparator" w:id="0">
    <w:p w14:paraId="65D3A7F8" w14:textId="77777777" w:rsidR="009943C4" w:rsidRDefault="009943C4" w:rsidP="000A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rPr>
      <w:id w:val="-1208107189"/>
      <w:docPartObj>
        <w:docPartGallery w:val="Page Numbers (Bottom of Page)"/>
        <w:docPartUnique/>
      </w:docPartObj>
    </w:sdtPr>
    <w:sdtEndPr>
      <w:rPr>
        <w:color w:val="7F7F7F"/>
        <w:spacing w:val="60"/>
      </w:rPr>
    </w:sdtEndPr>
    <w:sdtContent>
      <w:p w14:paraId="097260A6" w14:textId="77777777" w:rsidR="000A0C0D" w:rsidRPr="000A0C0D" w:rsidRDefault="000A0C0D" w:rsidP="000A0C0D">
        <w:pPr>
          <w:pStyle w:val="Footer"/>
          <w:pBdr>
            <w:top w:val="single" w:sz="4" w:space="1" w:color="D9D9D9"/>
          </w:pBdr>
          <w:jc w:val="right"/>
          <w:rPr>
            <w:rFonts w:ascii="Calibri" w:hAnsi="Calibri" w:cs="Calibri"/>
          </w:rPr>
        </w:pPr>
        <w:r w:rsidRPr="000A0C0D">
          <w:rPr>
            <w:rFonts w:ascii="Calibri" w:hAnsi="Calibri" w:cs="Calibri"/>
          </w:rPr>
          <w:fldChar w:fldCharType="begin"/>
        </w:r>
        <w:r w:rsidRPr="000A0C0D">
          <w:rPr>
            <w:rFonts w:ascii="Calibri" w:hAnsi="Calibri" w:cs="Calibri"/>
          </w:rPr>
          <w:instrText xml:space="preserve"> PAGE   \* MERGEFORMAT </w:instrText>
        </w:r>
        <w:r w:rsidRPr="000A0C0D">
          <w:rPr>
            <w:rFonts w:ascii="Calibri" w:hAnsi="Calibri" w:cs="Calibri"/>
          </w:rPr>
          <w:fldChar w:fldCharType="separate"/>
        </w:r>
        <w:r w:rsidR="00444BE1">
          <w:rPr>
            <w:rFonts w:ascii="Calibri" w:hAnsi="Calibri" w:cs="Calibri"/>
            <w:noProof/>
          </w:rPr>
          <w:t>1</w:t>
        </w:r>
        <w:r w:rsidRPr="000A0C0D">
          <w:rPr>
            <w:rFonts w:ascii="Calibri" w:hAnsi="Calibri" w:cs="Calibri"/>
            <w:noProof/>
          </w:rPr>
          <w:fldChar w:fldCharType="end"/>
        </w:r>
        <w:r w:rsidRPr="000A0C0D">
          <w:rPr>
            <w:rFonts w:ascii="Calibri" w:hAnsi="Calibri" w:cs="Calibri"/>
          </w:rPr>
          <w:t xml:space="preserve"> | </w:t>
        </w:r>
        <w:r w:rsidRPr="000A0C0D">
          <w:rPr>
            <w:rFonts w:ascii="Calibri" w:hAnsi="Calibri" w:cs="Calibri"/>
            <w:color w:val="7F7F7F"/>
            <w:spacing w:val="60"/>
          </w:rPr>
          <w:t>Page</w:t>
        </w:r>
      </w:p>
    </w:sdtContent>
  </w:sdt>
  <w:p w14:paraId="03F2835F" w14:textId="77777777" w:rsidR="000A0C0D" w:rsidRDefault="000A0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80DDA" w14:textId="77777777" w:rsidR="009943C4" w:rsidRDefault="009943C4" w:rsidP="000A0C0D">
      <w:pPr>
        <w:spacing w:after="0" w:line="240" w:lineRule="auto"/>
      </w:pPr>
      <w:r>
        <w:separator/>
      </w:r>
    </w:p>
  </w:footnote>
  <w:footnote w:type="continuationSeparator" w:id="0">
    <w:p w14:paraId="6D0507D9" w14:textId="77777777" w:rsidR="009943C4" w:rsidRDefault="009943C4" w:rsidP="000A0C0D">
      <w:pPr>
        <w:spacing w:after="0" w:line="240" w:lineRule="auto"/>
      </w:pPr>
      <w:r>
        <w:continuationSeparator/>
      </w:r>
    </w:p>
  </w:footnote>
  <w:footnote w:id="1">
    <w:p w14:paraId="5036E8AE" w14:textId="77777777" w:rsidR="000A0C0D" w:rsidRPr="000A0C0D" w:rsidRDefault="000A0C0D" w:rsidP="000A0C0D">
      <w:pPr>
        <w:pStyle w:val="FootnoteText"/>
        <w:tabs>
          <w:tab w:val="left" w:pos="567"/>
        </w:tabs>
        <w:spacing w:after="120"/>
        <w:rPr>
          <w:rFonts w:ascii="Calibri" w:hAnsi="Calibri" w:cs="Calibri"/>
          <w:sz w:val="18"/>
          <w:szCs w:val="18"/>
        </w:rPr>
      </w:pPr>
      <w:r w:rsidRPr="000A0C0D">
        <w:rPr>
          <w:rStyle w:val="FootnoteReference"/>
          <w:rFonts w:ascii="Calibri" w:hAnsi="Calibri" w:cs="Calibri"/>
          <w:sz w:val="18"/>
          <w:szCs w:val="18"/>
        </w:rPr>
        <w:footnoteRef/>
      </w:r>
      <w:r w:rsidRPr="000A0C0D">
        <w:rPr>
          <w:rFonts w:ascii="Calibri" w:hAnsi="Calibri" w:cs="Calibri"/>
          <w:sz w:val="18"/>
          <w:szCs w:val="18"/>
        </w:rPr>
        <w:tab/>
        <w:t xml:space="preserve">The Office of the Auditor-General’s website provides information on </w:t>
      </w:r>
      <w:hyperlink r:id="rId1" w:history="1">
        <w:r w:rsidRPr="000A0C0D">
          <w:rPr>
            <w:rStyle w:val="Hyperlink1"/>
            <w:rFonts w:ascii="Calibri" w:hAnsi="Calibri" w:cs="Calibri"/>
            <w:sz w:val="18"/>
            <w:szCs w:val="18"/>
          </w:rPr>
          <w:t>conflicts of interest</w:t>
        </w:r>
      </w:hyperlink>
      <w:r w:rsidRPr="000A0C0D">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4AC5" w14:textId="77777777" w:rsidR="000A0C0D" w:rsidRPr="00694DC0" w:rsidRDefault="000A0C0D" w:rsidP="00694DC0">
    <w:pPr>
      <w:pStyle w:val="Header"/>
      <w:tabs>
        <w:tab w:val="clear" w:pos="4513"/>
      </w:tabs>
      <w:spacing w:after="360"/>
      <w:rPr>
        <w:rFonts w:ascii="Candara" w:hAnsi="Candara"/>
      </w:rPr>
    </w:pPr>
    <w:r>
      <w:rPr>
        <w:noProof/>
        <w:lang w:eastAsia="en-NZ"/>
      </w:rPr>
      <w:drawing>
        <wp:inline distT="0" distB="0" distL="0" distR="0" wp14:anchorId="0E7CEF4C" wp14:editId="69F4E9DC">
          <wp:extent cx="1724400" cy="53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er Wellington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400" cy="53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5F06"/>
    <w:multiLevelType w:val="hybridMultilevel"/>
    <w:tmpl w:val="87684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1C0F52"/>
    <w:multiLevelType w:val="multilevel"/>
    <w:tmpl w:val="783031D4"/>
    <w:lvl w:ilvl="0">
      <w:start w:val="1"/>
      <w:numFmt w:val="decimal"/>
      <w:lvlText w:val="%1"/>
      <w:lvlJc w:val="left"/>
      <w:pPr>
        <w:ind w:left="567" w:hanging="567"/>
      </w:pPr>
      <w:rPr>
        <w:rFonts w:hint="default"/>
        <w:sz w:val="24"/>
        <w:szCs w:val="24"/>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4BA496F"/>
    <w:multiLevelType w:val="hybridMultilevel"/>
    <w:tmpl w:val="751C55A0"/>
    <w:lvl w:ilvl="0" w:tplc="0BE00192">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E205862"/>
    <w:multiLevelType w:val="hybridMultilevel"/>
    <w:tmpl w:val="E208C95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5A67862"/>
    <w:multiLevelType w:val="hybridMultilevel"/>
    <w:tmpl w:val="4B48758A"/>
    <w:lvl w:ilvl="0" w:tplc="C93EDDFE">
      <w:start w:val="1"/>
      <w:numFmt w:val="decimal"/>
      <w:lvlText w:val="%1"/>
      <w:lvlJc w:val="left"/>
      <w:pPr>
        <w:ind w:left="1800" w:hanging="360"/>
      </w:pPr>
      <w:rPr>
        <w:rFont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5D253005"/>
    <w:multiLevelType w:val="hybridMultilevel"/>
    <w:tmpl w:val="CD12C38E"/>
    <w:lvl w:ilvl="0" w:tplc="14090001">
      <w:start w:val="1"/>
      <w:numFmt w:val="bullet"/>
      <w:lvlText w:val=""/>
      <w:lvlJc w:val="left"/>
      <w:pPr>
        <w:ind w:left="1080" w:hanging="72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0B84458"/>
    <w:multiLevelType w:val="multilevel"/>
    <w:tmpl w:val="90881738"/>
    <w:lvl w:ilvl="0">
      <w:start w:val="1"/>
      <w:numFmt w:val="decimal"/>
      <w:lvlText w:val="%1"/>
      <w:lvlJc w:val="left"/>
      <w:pPr>
        <w:ind w:left="720" w:hanging="360"/>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3E16C32"/>
    <w:multiLevelType w:val="hybridMultilevel"/>
    <w:tmpl w:val="FC2CC5E6"/>
    <w:lvl w:ilvl="0" w:tplc="C93EDDFE">
      <w:start w:val="1"/>
      <w:numFmt w:val="decimal"/>
      <w:lvlText w:val="%1"/>
      <w:lvlJc w:val="left"/>
      <w:pPr>
        <w:ind w:left="1141" w:hanging="720"/>
      </w:pPr>
      <w:rPr>
        <w:rFonts w:hint="default"/>
      </w:rPr>
    </w:lvl>
    <w:lvl w:ilvl="1" w:tplc="14090019" w:tentative="1">
      <w:start w:val="1"/>
      <w:numFmt w:val="lowerLetter"/>
      <w:lvlText w:val="%2."/>
      <w:lvlJc w:val="left"/>
      <w:pPr>
        <w:ind w:left="1501" w:hanging="360"/>
      </w:pPr>
    </w:lvl>
    <w:lvl w:ilvl="2" w:tplc="1409001B" w:tentative="1">
      <w:start w:val="1"/>
      <w:numFmt w:val="lowerRoman"/>
      <w:lvlText w:val="%3."/>
      <w:lvlJc w:val="right"/>
      <w:pPr>
        <w:ind w:left="2221" w:hanging="180"/>
      </w:pPr>
    </w:lvl>
    <w:lvl w:ilvl="3" w:tplc="1409000F" w:tentative="1">
      <w:start w:val="1"/>
      <w:numFmt w:val="decimal"/>
      <w:lvlText w:val="%4."/>
      <w:lvlJc w:val="left"/>
      <w:pPr>
        <w:ind w:left="2941" w:hanging="360"/>
      </w:pPr>
    </w:lvl>
    <w:lvl w:ilvl="4" w:tplc="14090019" w:tentative="1">
      <w:start w:val="1"/>
      <w:numFmt w:val="lowerLetter"/>
      <w:lvlText w:val="%5."/>
      <w:lvlJc w:val="left"/>
      <w:pPr>
        <w:ind w:left="3661" w:hanging="360"/>
      </w:pPr>
    </w:lvl>
    <w:lvl w:ilvl="5" w:tplc="1409001B" w:tentative="1">
      <w:start w:val="1"/>
      <w:numFmt w:val="lowerRoman"/>
      <w:lvlText w:val="%6."/>
      <w:lvlJc w:val="right"/>
      <w:pPr>
        <w:ind w:left="4381" w:hanging="180"/>
      </w:pPr>
    </w:lvl>
    <w:lvl w:ilvl="6" w:tplc="1409000F" w:tentative="1">
      <w:start w:val="1"/>
      <w:numFmt w:val="decimal"/>
      <w:lvlText w:val="%7."/>
      <w:lvlJc w:val="left"/>
      <w:pPr>
        <w:ind w:left="5101" w:hanging="360"/>
      </w:pPr>
    </w:lvl>
    <w:lvl w:ilvl="7" w:tplc="14090019" w:tentative="1">
      <w:start w:val="1"/>
      <w:numFmt w:val="lowerLetter"/>
      <w:lvlText w:val="%8."/>
      <w:lvlJc w:val="left"/>
      <w:pPr>
        <w:ind w:left="5821" w:hanging="360"/>
      </w:pPr>
    </w:lvl>
    <w:lvl w:ilvl="8" w:tplc="1409001B" w:tentative="1">
      <w:start w:val="1"/>
      <w:numFmt w:val="lowerRoman"/>
      <w:lvlText w:val="%9."/>
      <w:lvlJc w:val="right"/>
      <w:pPr>
        <w:ind w:left="6541" w:hanging="180"/>
      </w:pPr>
    </w:lvl>
  </w:abstractNum>
  <w:num w:numId="1" w16cid:durableId="1169099794">
    <w:abstractNumId w:val="7"/>
  </w:num>
  <w:num w:numId="2" w16cid:durableId="437918442">
    <w:abstractNumId w:val="0"/>
  </w:num>
  <w:num w:numId="3" w16cid:durableId="820926615">
    <w:abstractNumId w:val="4"/>
  </w:num>
  <w:num w:numId="4" w16cid:durableId="1581595396">
    <w:abstractNumId w:val="6"/>
  </w:num>
  <w:num w:numId="5" w16cid:durableId="1465466650">
    <w:abstractNumId w:val="2"/>
  </w:num>
  <w:num w:numId="6" w16cid:durableId="740098078">
    <w:abstractNumId w:val="5"/>
  </w:num>
  <w:num w:numId="7" w16cid:durableId="277611006">
    <w:abstractNumId w:val="3"/>
  </w:num>
  <w:num w:numId="8" w16cid:durableId="93535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0D"/>
    <w:rsid w:val="00061774"/>
    <w:rsid w:val="000A0C0D"/>
    <w:rsid w:val="004248CF"/>
    <w:rsid w:val="00444BE1"/>
    <w:rsid w:val="0056674A"/>
    <w:rsid w:val="00574FA4"/>
    <w:rsid w:val="00786C40"/>
    <w:rsid w:val="008B3457"/>
    <w:rsid w:val="009120F0"/>
    <w:rsid w:val="00937486"/>
    <w:rsid w:val="00986B2E"/>
    <w:rsid w:val="009943C4"/>
    <w:rsid w:val="00A51D99"/>
    <w:rsid w:val="00A7769D"/>
    <w:rsid w:val="00AF24DF"/>
    <w:rsid w:val="00B107E3"/>
    <w:rsid w:val="00B268B1"/>
    <w:rsid w:val="00C77240"/>
    <w:rsid w:val="00DF03F2"/>
    <w:rsid w:val="00F027D7"/>
    <w:rsid w:val="00FA4820"/>
    <w:rsid w:val="064C4837"/>
    <w:rsid w:val="3077017B"/>
    <w:rsid w:val="375ADF8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3570"/>
  <w15:chartTrackingRefBased/>
  <w15:docId w15:val="{E0241487-DDA1-4558-9FE6-A4FCCB79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C0D"/>
    <w:pPr>
      <w:tabs>
        <w:tab w:val="center" w:pos="4513"/>
        <w:tab w:val="right" w:pos="9026"/>
      </w:tabs>
      <w:spacing w:after="0" w:line="240" w:lineRule="auto"/>
    </w:pPr>
    <w:rPr>
      <w:rFonts w:ascii="Times New Roman" w:eastAsia="Times New Roman" w:hAnsi="Times New Roman" w:cs="Times New Roman"/>
      <w:bCs/>
      <w:kern w:val="28"/>
      <w:sz w:val="24"/>
      <w:szCs w:val="24"/>
      <w:lang w:eastAsia="en-GB"/>
    </w:rPr>
  </w:style>
  <w:style w:type="character" w:customStyle="1" w:styleId="HeaderChar">
    <w:name w:val="Header Char"/>
    <w:basedOn w:val="DefaultParagraphFont"/>
    <w:link w:val="Header"/>
    <w:uiPriority w:val="99"/>
    <w:rsid w:val="000A0C0D"/>
    <w:rPr>
      <w:rFonts w:ascii="Times New Roman" w:eastAsia="Times New Roman" w:hAnsi="Times New Roman" w:cs="Times New Roman"/>
      <w:bCs/>
      <w:kern w:val="28"/>
      <w:sz w:val="24"/>
      <w:szCs w:val="24"/>
      <w:lang w:eastAsia="en-GB"/>
    </w:rPr>
  </w:style>
  <w:style w:type="paragraph" w:styleId="Footer">
    <w:name w:val="footer"/>
    <w:basedOn w:val="Normal"/>
    <w:link w:val="FooterChar"/>
    <w:uiPriority w:val="99"/>
    <w:unhideWhenUsed/>
    <w:rsid w:val="000A0C0D"/>
    <w:pPr>
      <w:tabs>
        <w:tab w:val="center" w:pos="4513"/>
        <w:tab w:val="right" w:pos="9026"/>
      </w:tabs>
      <w:spacing w:after="0" w:line="240" w:lineRule="auto"/>
    </w:pPr>
    <w:rPr>
      <w:rFonts w:ascii="Times New Roman" w:eastAsia="Times New Roman" w:hAnsi="Times New Roman" w:cs="Times New Roman"/>
      <w:bCs/>
      <w:kern w:val="28"/>
      <w:sz w:val="24"/>
      <w:szCs w:val="24"/>
      <w:lang w:eastAsia="en-GB"/>
    </w:rPr>
  </w:style>
  <w:style w:type="character" w:customStyle="1" w:styleId="FooterChar">
    <w:name w:val="Footer Char"/>
    <w:basedOn w:val="DefaultParagraphFont"/>
    <w:link w:val="Footer"/>
    <w:uiPriority w:val="99"/>
    <w:rsid w:val="000A0C0D"/>
    <w:rPr>
      <w:rFonts w:ascii="Times New Roman" w:eastAsia="Times New Roman" w:hAnsi="Times New Roman" w:cs="Times New Roman"/>
      <w:bCs/>
      <w:kern w:val="28"/>
      <w:sz w:val="24"/>
      <w:szCs w:val="24"/>
      <w:lang w:eastAsia="en-GB"/>
    </w:rPr>
  </w:style>
  <w:style w:type="table" w:customStyle="1" w:styleId="TableGrid1">
    <w:name w:val="Table Grid1"/>
    <w:basedOn w:val="TableNormal"/>
    <w:next w:val="TableGrid"/>
    <w:uiPriority w:val="59"/>
    <w:rsid w:val="000A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0A0C0D"/>
    <w:rPr>
      <w:color w:val="0000FF"/>
      <w:u w:val="single"/>
    </w:rPr>
  </w:style>
  <w:style w:type="paragraph" w:styleId="FootnoteText">
    <w:name w:val="footnote text"/>
    <w:basedOn w:val="Normal"/>
    <w:link w:val="FootnoteTextChar"/>
    <w:uiPriority w:val="99"/>
    <w:semiHidden/>
    <w:unhideWhenUsed/>
    <w:rsid w:val="000A0C0D"/>
    <w:pPr>
      <w:spacing w:after="0" w:line="240" w:lineRule="auto"/>
    </w:pPr>
    <w:rPr>
      <w:rFonts w:ascii="Times New Roman" w:eastAsia="Times New Roman" w:hAnsi="Times New Roman" w:cs="Times New Roman"/>
      <w:bCs/>
      <w:kern w:val="28"/>
      <w:sz w:val="20"/>
      <w:szCs w:val="20"/>
      <w:lang w:eastAsia="en-GB"/>
    </w:rPr>
  </w:style>
  <w:style w:type="character" w:customStyle="1" w:styleId="FootnoteTextChar">
    <w:name w:val="Footnote Text Char"/>
    <w:basedOn w:val="DefaultParagraphFont"/>
    <w:link w:val="FootnoteText"/>
    <w:uiPriority w:val="99"/>
    <w:semiHidden/>
    <w:rsid w:val="000A0C0D"/>
    <w:rPr>
      <w:rFonts w:ascii="Times New Roman" w:eastAsia="Times New Roman" w:hAnsi="Times New Roman" w:cs="Times New Roman"/>
      <w:bCs/>
      <w:kern w:val="28"/>
      <w:sz w:val="20"/>
      <w:szCs w:val="20"/>
      <w:lang w:eastAsia="en-GB"/>
    </w:rPr>
  </w:style>
  <w:style w:type="character" w:styleId="FootnoteReference">
    <w:name w:val="footnote reference"/>
    <w:basedOn w:val="DefaultParagraphFont"/>
    <w:uiPriority w:val="99"/>
    <w:semiHidden/>
    <w:unhideWhenUsed/>
    <w:rsid w:val="000A0C0D"/>
    <w:rPr>
      <w:vertAlign w:val="superscript"/>
    </w:rPr>
  </w:style>
  <w:style w:type="table" w:styleId="TableGrid">
    <w:name w:val="Table Grid"/>
    <w:basedOn w:val="TableNormal"/>
    <w:uiPriority w:val="39"/>
    <w:rsid w:val="000A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0C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act/public/1968/0147/latest/DLM39000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ocratic.services@gw.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gw.govt.nz" TargetMode="External"/><Relationship Id="rId5" Type="http://schemas.openxmlformats.org/officeDocument/2006/relationships/numbering" Target="numbering.xml"/><Relationship Id="rId15" Type="http://schemas.openxmlformats.org/officeDocument/2006/relationships/hyperlink" Target="https://oag.parliament.nz/2020/confli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ag.parliament.nz/2020/lam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ag.parliament.nz/good-practice/conflicts-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1E94C3B72383DE4DAA17349E0BBF25260066518AF415ED4841AE67FBA14B8501DA" ma:contentTypeVersion="88" ma:contentTypeDescription="Create a new document." ma:contentTypeScope="" ma:versionID="7a71d605a4b9998a3e493cfe6e2dd258">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3a3fe8ea-8977-48ca-9119-d41fea5c8cc8" targetNamespace="http://schemas.microsoft.com/office/2006/metadata/properties" ma:root="true" ma:fieldsID="a865bea25f06eacd725f18a63fbbaacd"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3a3fe8ea-8977-48ca-9119-d41fea5c8cc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1:_vti_ItemDeclaredRecord" minOccurs="0"/>
                <xsd:element ref="ns1:_vti_ItemHoldRecordStatus" minOccurs="0"/>
                <xsd:element ref="ns8:KnowHowType" minOccurs="0"/>
                <xsd:element ref="ns8:Subactivity" minOccurs="0"/>
                <xsd:element ref="ns8:To" minOccurs="0"/>
                <xsd:element ref="ns8:Triennium" minOccurs="0"/>
                <xsd:element ref="ns8:MediaServiceMetadata" minOccurs="0"/>
                <xsd:element ref="ns8:MediaServiceFastMetadata" minOccurs="0"/>
                <xsd:element ref="ns8:lcf76f155ced4ddcb4097134ff3c332f" minOccurs="0"/>
                <xsd:element ref="ns2:TaxCatchAll" minOccurs="0"/>
                <xsd:element ref="ns8:MediaServiceDateTaken" minOccurs="0"/>
                <xsd:element ref="ns8:MediaServiceGenerationTime" minOccurs="0"/>
                <xsd:element ref="ns8:MediaServiceEventHashCode" minOccurs="0"/>
                <xsd:element ref="ns8:MediaServiceOCR" minOccurs="0"/>
                <xsd:element ref="ns8:MediaServiceObjectDetectorVersion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9" nillable="true" ma:displayName="Declared Record" ma:description="" ma:hidden="true" ma:internalName="_vti_ItemDeclaredRecord" ma:readOnly="true">
      <xsd:simpleType>
        <xsd:restriction base="dms:DateTime"/>
      </xsd:simpleType>
    </xsd:element>
    <xsd:element name="_vti_ItemHoldRecordStatus" ma:index="5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2b2a3df4-e807-4d9d-9ee5-c7afa4e61e28}"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Case" ma:index="15" nillable="true" ma:displayName="Councillor" ma:default="NA" ma:indexed="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default="Normal" ma:hidden="true" ma:internalName="BusinessValue" ma:readOnly="false">
      <xsd:simpleType>
        <xsd:restriction base="dms:Text">
          <xsd:maxLength value="255"/>
        </xsd:restriction>
      </xsd:simpleType>
    </xsd:element>
    <xsd:element name="FunctionGroup" ma:index="20" nillable="true" ma:displayName="Function Group" ma:default="Governance" ma:hidden="true" ma:internalName="FunctionGroup" ma:readOnly="false">
      <xsd:simpleType>
        <xsd:restriction base="dms:Text">
          <xsd:maxLength value="255"/>
        </xsd:restriction>
      </xsd:simpleType>
    </xsd:element>
    <xsd:element name="Function" ma:index="21" nillable="true" ma:displayName="Function" ma:default="Councillor Administr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ouncillor Administration"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ouncillor Administration"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2" nillable="true" ma:displayName="eDocsDocNumber" ma:hidden="true" ma:internalName="eDocsDocNumber" ma:readOnly="false">
      <xsd:simpleType>
        <xsd:restriction base="dms:Text">
          <xsd:maxLength value="255"/>
        </xsd:restriction>
      </xsd:simpleType>
    </xsd:element>
    <xsd:element name="GWappID1" ma:index="43" nillable="true" ma:displayName="GWappID1" ma:hidden="true" ma:internalName="GWappID1" ma:readOnly="false">
      <xsd:simpleType>
        <xsd:restriction base="dms:Text">
          <xsd:maxLength value="255"/>
        </xsd:restriction>
      </xsd:simpleType>
    </xsd:element>
    <xsd:element name="zLegacy" ma:index="44" nillable="true" ma:displayName="zLegacy" ma:hidden="true" ma:internalName="zLegacy" ma:readOnly="false">
      <xsd:simpleType>
        <xsd:restriction base="dms:Note"/>
      </xsd:simpleType>
    </xsd:element>
    <xsd:element name="zLegacyJSON" ma:index="45" nillable="true" ma:displayName="zLegacyJSON" ma:hidden="true" ma:internalName="zLegacyJSON" ma:readOnly="false">
      <xsd:simpleType>
        <xsd:restriction base="dms:Note"/>
      </xsd:simpleType>
    </xsd:element>
    <xsd:element name="zMigrationID" ma:index="46" nillable="true" ma:displayName="zMigrationID" ma:hidden="true" ma:indexed="true" ma:internalName="zMigrationID" ma:readOnly="false">
      <xsd:simpleType>
        <xsd:restriction base="dms:Text">
          <xsd:maxLength value="255"/>
        </xsd:restriction>
      </xsd:simpleType>
    </xsd:element>
    <xsd:element name="SetLabel" ma:index="47" nillable="true" ma:displayName="SetLabel" ma:default="RETAIN" ma:hidden="true" ma:internalName="SetLabel" ma:readOnly="false">
      <xsd:simpleType>
        <xsd:restriction base="dms:Text">
          <xsd:maxLength value="255"/>
        </xsd:restriction>
      </xsd:simpleType>
    </xsd:element>
    <xsd:element name="CC" ma:index="48"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fe8ea-8977-48ca-9119-d41fea5c8cc8" elementFormDefault="qualified">
    <xsd:import namespace="http://schemas.microsoft.com/office/2006/documentManagement/types"/>
    <xsd:import namespace="http://schemas.microsoft.com/office/infopath/2007/PartnerControls"/>
    <xsd:element name="KnowHowType" ma:index="51"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2" nillable="true" ma:displayName="Subactivity" ma:format="Dropdown" ma:hidden="true" ma:internalName="Subactivity" ma:readOnly="false">
      <xsd:simpleType>
        <xsd:union memberTypes="dms:Text">
          <xsd:simpleType>
            <xsd:restriction base="dms:Choice">
              <xsd:enumeration value="Biannual Person Interest Review"/>
              <xsd:enumeration value="Chair Communications"/>
              <xsd:enumeration value="Chair Presentations and Speeches"/>
              <xsd:enumeration value="Conferences or Training"/>
              <xsd:enumeration value="Conflicts of Interest"/>
              <xsd:enumeration value="Councillor Bulletin"/>
              <xsd:enumeration value="Councillors onboarding"/>
              <xsd:enumeration value="Equipment Provision to Members"/>
              <xsd:enumeration value="Gift Register"/>
              <xsd:enumeration value="Informal Meetings"/>
              <xsd:enumeration value="Member Requirements"/>
              <xsd:enumeration value="Members Interests"/>
              <xsd:enumeration value="Records of Service"/>
              <xsd:enumeration value="Remuneration Allowances and Expenses"/>
            </xsd:restriction>
          </xsd:simpleType>
        </xsd:union>
      </xsd:simpleType>
    </xsd:element>
    <xsd:element name="To" ma:index="53" nillable="true" ma:displayName="To" ma:internalName="To">
      <xsd:simpleType>
        <xsd:restriction base="dms:Note">
          <xsd:maxLength value="255"/>
        </xsd:restriction>
      </xsd:simpleType>
    </xsd:element>
    <xsd:element name="Triennium" ma:index="54" nillable="true" ma:displayName="Triennium" ma:default="2022-2025" ma:format="Dropdown" ma:hidden="true" ma:internalName="Triennium">
      <xsd:simpleType>
        <xsd:union memberTypes="dms:Text">
          <xsd:simpleType>
            <xsd:restriction base="dms:Choice">
              <xsd:enumeration value="2022-2025"/>
              <xsd:enumeration value="2019-2022"/>
              <xsd:enumeration value="2016-2019"/>
              <xsd:enumeration value="2013-2016"/>
              <xsd:enumeration value="2010-2013"/>
              <xsd:enumeration value="Pre 2010-2013"/>
            </xsd:restriction>
          </xsd:simpleType>
        </xsd:union>
      </xsd:simpleType>
    </xsd:element>
    <xsd:element name="MediaServiceMetadata" ma:index="55" nillable="true" ma:displayName="MediaServiceMetadata" ma:hidden="true" ma:internalName="MediaServiceMetadata" ma:readOnly="true">
      <xsd:simpleType>
        <xsd:restriction base="dms:Note"/>
      </xsd:simpleType>
    </xsd:element>
    <xsd:element name="MediaServiceFastMetadata" ma:index="56" nillable="true" ma:displayName="MediaServiceFastMetadata" ma:hidden="true" ma:internalName="MediaServiceFastMetadata"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se xmlns="4f9c820c-e7e2-444d-97ee-45f2b3485c1d">Committee appointees</Case>
    <Function xmlns="4f9c820c-e7e2-444d-97ee-45f2b3485c1d">Councillor Administration</Function>
    <Project xmlns="4f9c820c-e7e2-444d-97ee-45f2b3485c1d">NA</Project>
    <eDocsDocNumber xmlns="e5a7084f-8549-410e-a7ff-e0f6a67a54a6" xsi:nil="true"/>
    <CategoryValue xmlns="4f9c820c-e7e2-444d-97ee-45f2b3485c1d">NA</CategoryValue>
    <DocumentType xmlns="4f9c820c-e7e2-444d-97ee-45f2b3485c1d">Template</DocumentType>
    <FunctionGroup xmlns="4f9c820c-e7e2-444d-97ee-45f2b3485c1d">Governance</FunctionGroup>
    <Activity xmlns="4f9c820c-e7e2-444d-97ee-45f2b3485c1d">Councillor Administration</Activity>
    <GWappID1 xmlns="e5a7084f-8549-410e-a7ff-e0f6a67a54a6" xsi:nil="true"/>
    <CategoryName xmlns="4f9c820c-e7e2-444d-97ee-45f2b3485c1d">NA</CategoryName>
    <Narrative xmlns="4f9c820c-e7e2-444d-97ee-45f2b3485c1d" xsi:nil="true"/>
    <Subactivity xmlns="3a3fe8ea-8977-48ca-9119-d41fea5c8cc8">2024 Annual Personal Interests Declarations</Subactivity>
    <Triennium xmlns="3a3fe8ea-8977-48ca-9119-d41fea5c8cc8">2022-2025</Triennium>
    <_dlc_DocId xmlns="2de8b5ad-0395-4b99-8c38-329811f9101f">COUNCADM2-1430421076-3035</_dlc_DocId>
    <_dlc_DocIdUrl xmlns="2de8b5ad-0395-4b99-8c38-329811f9101f">
      <Url>https://greaterwellington.sharepoint.com/sites/ws-councadm2/_layouts/15/DocIdRedir.aspx?ID=COUNCADM2-1430421076-3035</Url>
      <Description>COUNCADM2-1430421076-3035</Description>
    </_dlc_DocIdUrl>
    <BusinessValue xmlns="4f9c820c-e7e2-444d-97ee-45f2b3485c1d">Normal</BusinessValue>
    <PRADateDisposal xmlns="4f9c820c-e7e2-444d-97ee-45f2b3485c1d" xsi:nil="true"/>
    <KnowHowType xmlns="3a3fe8ea-8977-48ca-9119-d41fea5c8cc8">NA</KnowHowType>
    <lcf76f155ced4ddcb4097134ff3c332f xmlns="3a3fe8ea-8977-48ca-9119-d41fea5c8cc8">
      <Terms xmlns="http://schemas.microsoft.com/office/infopath/2007/PartnerControls"/>
    </lcf76f155ced4ddcb4097134ff3c332f>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Councillor Administration</Team>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PRAText3 xmlns="4f9c820c-e7e2-444d-97ee-45f2b3485c1d" xsi:nil="true"/>
    <zMigrationID xmlns="e5a7084f-8549-410e-a7ff-e0f6a67a54a6" xsi:nil="true"/>
    <To xmlns="3a3fe8ea-8977-48ca-9119-d41fea5c8cc8" xsi:nil="true"/>
    <Year xmlns="c91a514c-9034-4fa3-897a-8352025b26ed">NA</Year>
    <PRADateTrigger xmlns="4f9c820c-e7e2-444d-97ee-45f2b3485c1d" xsi:nil="true"/>
    <PRAText2 xmlns="4f9c820c-e7e2-444d-97ee-45f2b3485c1d" xsi:nil="true"/>
    <zLegacy xmlns="e5a7084f-8549-410e-a7ff-e0f6a67a54a6" xsi:nil="true"/>
    <SetLabel xmlns="e5a7084f-8549-410e-a7ff-e0f6a67a54a6">RETAIN</SetLabel>
  </documentManagement>
</p:properties>
</file>

<file path=customXml/itemProps1.xml><?xml version="1.0" encoding="utf-8"?>
<ds:datastoreItem xmlns:ds="http://schemas.openxmlformats.org/officeDocument/2006/customXml" ds:itemID="{E0046798-F505-4006-ABD1-C8FC7B4D036E}">
  <ds:schemaRefs>
    <ds:schemaRef ds:uri="http://schemas.microsoft.com/sharepoint/v3/contenttype/forms"/>
  </ds:schemaRefs>
</ds:datastoreItem>
</file>

<file path=customXml/itemProps2.xml><?xml version="1.0" encoding="utf-8"?>
<ds:datastoreItem xmlns:ds="http://schemas.openxmlformats.org/officeDocument/2006/customXml" ds:itemID="{CF691EB6-F02C-4FAE-BCF3-711757D9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3a3fe8ea-8977-48ca-9119-d41fea5c8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B6750-015D-4899-9FE2-8D4B20C013B6}">
  <ds:schemaRefs>
    <ds:schemaRef ds:uri="http://schemas.microsoft.com/sharepoint/events"/>
  </ds:schemaRefs>
</ds:datastoreItem>
</file>

<file path=customXml/itemProps4.xml><?xml version="1.0" encoding="utf-8"?>
<ds:datastoreItem xmlns:ds="http://schemas.openxmlformats.org/officeDocument/2006/customXml" ds:itemID="{EEDE0980-FC3D-499D-A7BC-7A7C463FEDEE}">
  <ds:schemaRefs>
    <ds:schemaRef ds:uri="http://schemas.microsoft.com/office/2006/metadata/properties"/>
    <ds:schemaRef ds:uri="http://schemas.microsoft.com/office/infopath/2007/PartnerControls"/>
    <ds:schemaRef ds:uri="4f9c820c-e7e2-444d-97ee-45f2b3485c1d"/>
    <ds:schemaRef ds:uri="e5a7084f-8549-410e-a7ff-e0f6a67a54a6"/>
    <ds:schemaRef ds:uri="3a3fe8ea-8977-48ca-9119-d41fea5c8cc8"/>
    <ds:schemaRef ds:uri="2de8b5ad-0395-4b99-8c38-329811f9101f"/>
    <ds:schemaRef ds:uri="15ffb055-6eb4-45a1-bc20-bf2ac0d420da"/>
    <ds:schemaRef ds:uri="c91a514c-9034-4fa3-897a-8352025b26ed"/>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1784</Words>
  <Characters>10169</Characters>
  <Application>Microsoft Office Word</Application>
  <DocSecurity>0</DocSecurity>
  <Lines>84</Lines>
  <Paragraphs>23</Paragraphs>
  <ScaleCrop>false</ScaleCrop>
  <Company>Greater Wellington Regional Council</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Stevenson</dc:creator>
  <cp:keywords/>
  <dc:description/>
  <cp:lastModifiedBy>Elizabeth Woolcott</cp:lastModifiedBy>
  <cp:revision>10</cp:revision>
  <dcterms:created xsi:type="dcterms:W3CDTF">2024-11-04T20:25:00Z</dcterms:created>
  <dcterms:modified xsi:type="dcterms:W3CDTF">2024-11-06T23:30:00Z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0x0101001E94C3B72383DE4DAA17349E0BBF25260066518AF415ED4841AE67FBA14B8501DA</vt:lpwstr>
  </property>
  <property fmtid="{D5CDD505-2E9C-101B-9397-08002B2CF9AE}" pid="3" name="_dlc_DocIdItemGuid">
    <vt:lpwstr>794f28ce-8c38-4aa9-b3e6-313c436084a0</vt:lpwstr>
  </property>
  <property fmtid="{D5CDD505-2E9C-101B-9397-08002B2CF9AE}" pid="4" name="MediaServiceImageTags">
    <vt:lpwstr/>
  </property>
</Properties>
</file>